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81" w:rsidRPr="00BE26C8" w:rsidRDefault="009F3881" w:rsidP="009F3881">
      <w:pPr>
        <w:spacing w:line="360" w:lineRule="auto"/>
        <w:jc w:val="center"/>
        <w:rPr>
          <w:rFonts w:ascii="Times New Roman" w:eastAsia="SimSun" w:hAnsi="Times New Roman" w:cs="Times New Roman"/>
          <w:b/>
          <w:sz w:val="36"/>
          <w:szCs w:val="36"/>
          <w:lang w:val="en-GB" w:eastAsia="zh-CN"/>
        </w:rPr>
      </w:pPr>
      <w:r w:rsidRPr="00BE26C8">
        <w:rPr>
          <w:rFonts w:ascii="Times New Roman" w:eastAsia="SimSun" w:hAnsi="Times New Roman" w:cs="Times New Roman"/>
          <w:b/>
          <w:sz w:val="36"/>
          <w:szCs w:val="36"/>
          <w:lang w:val="en-GB" w:eastAsia="zh-CN"/>
        </w:rPr>
        <w:t xml:space="preserve">Supplementary Material </w:t>
      </w:r>
    </w:p>
    <w:p w:rsidR="009F3881" w:rsidRPr="00BE26C8" w:rsidRDefault="009F3881" w:rsidP="009F3881">
      <w:pPr>
        <w:spacing w:line="360" w:lineRule="auto"/>
        <w:jc w:val="center"/>
        <w:rPr>
          <w:rFonts w:ascii="Times New Roman" w:eastAsia="SimSun" w:hAnsi="Times New Roman" w:cs="Times New Roman"/>
          <w:b/>
          <w:sz w:val="36"/>
          <w:szCs w:val="36"/>
          <w:lang w:val="en-GB" w:eastAsia="zh-CN"/>
        </w:rPr>
      </w:pPr>
    </w:p>
    <w:p w:rsidR="009F3881" w:rsidRPr="00BE26C8" w:rsidRDefault="009F3881" w:rsidP="009F3881">
      <w:pPr>
        <w:spacing w:line="360" w:lineRule="auto"/>
        <w:rPr>
          <w:rFonts w:ascii="Times New Roman" w:eastAsia="SimSun" w:hAnsi="Times New Roman" w:cs="Times New Roman"/>
          <w:b/>
          <w:sz w:val="36"/>
          <w:szCs w:val="36"/>
          <w:lang w:val="en-GB" w:eastAsia="zh-CN"/>
        </w:rPr>
      </w:pPr>
      <w:r w:rsidRPr="00BE26C8">
        <w:rPr>
          <w:rFonts w:ascii="Times New Roman" w:eastAsia="SimSun" w:hAnsi="Times New Roman" w:cs="Times New Roman"/>
          <w:b/>
          <w:sz w:val="36"/>
          <w:szCs w:val="36"/>
          <w:lang w:val="en-GB" w:eastAsia="zh-CN"/>
        </w:rPr>
        <w:t>The MARC effect</w:t>
      </w:r>
    </w:p>
    <w:p w:rsidR="009F3881" w:rsidRPr="00BE26C8" w:rsidRDefault="009F3881" w:rsidP="009F3881">
      <w:pPr>
        <w:spacing w:line="360" w:lineRule="auto"/>
        <w:ind w:firstLine="567"/>
        <w:jc w:val="both"/>
        <w:rPr>
          <w:rFonts w:ascii="Times New Roman" w:eastAsia="SimSun" w:hAnsi="Times New Roman" w:cs="Times New Roman"/>
          <w:sz w:val="36"/>
          <w:szCs w:val="36"/>
          <w:lang w:val="en-GB" w:eastAsia="zh-CN"/>
        </w:rPr>
      </w:pPr>
      <w:r w:rsidRPr="00BE26C8">
        <w:rPr>
          <w:rFonts w:ascii="Times New Roman" w:hAnsi="Times New Roman" w:cs="Times New Roman"/>
          <w:sz w:val="36"/>
          <w:szCs w:val="36"/>
          <w:lang w:val="en-GB"/>
        </w:rPr>
        <w:t xml:space="preserve">When a parity judgment task is utilized, </w:t>
      </w:r>
      <w:r w:rsidRPr="00BE26C8">
        <w:rPr>
          <w:rFonts w:ascii="Times New Roman" w:eastAsia="SimSun" w:hAnsi="Times New Roman" w:cs="Times New Roman"/>
          <w:sz w:val="36"/>
          <w:szCs w:val="36"/>
          <w:lang w:val="en-GB" w:eastAsia="zh-CN"/>
        </w:rPr>
        <w:t>another phenomenon can be observed</w:t>
      </w:r>
      <w:r w:rsidRPr="00BE26C8">
        <w:rPr>
          <w:rFonts w:ascii="Times New Roman" w:hAnsi="Times New Roman" w:cs="Times New Roman"/>
          <w:sz w:val="36"/>
          <w:szCs w:val="36"/>
          <w:lang w:val="en-GB"/>
        </w:rPr>
        <w:t xml:space="preserve"> besides </w:t>
      </w:r>
      <w:r w:rsidRPr="00BE26C8">
        <w:rPr>
          <w:rFonts w:ascii="Times New Roman" w:eastAsia="SimSun" w:hAnsi="Times New Roman" w:cs="Times New Roman"/>
          <w:sz w:val="36"/>
          <w:szCs w:val="36"/>
          <w:lang w:val="en-GB" w:eastAsia="zh-CN"/>
        </w:rPr>
        <w:t>the SNARC effect: odd / even numbers are responded to faster on the left / right hand side. This phenomenon is referred to as the MARC (</w:t>
      </w:r>
      <w:r w:rsidRPr="00BE26C8">
        <w:rPr>
          <w:rFonts w:ascii="Times New Roman" w:eastAsia="SimSun" w:hAnsi="Times New Roman" w:cs="Times New Roman"/>
          <w:sz w:val="36"/>
          <w:szCs w:val="36"/>
          <w:u w:val="single"/>
          <w:lang w:val="en-GB" w:eastAsia="zh-CN"/>
        </w:rPr>
        <w:t>M</w:t>
      </w:r>
      <w:r w:rsidRPr="00BE26C8">
        <w:rPr>
          <w:rFonts w:ascii="Times New Roman" w:eastAsia="SimSun" w:hAnsi="Times New Roman" w:cs="Times New Roman"/>
          <w:sz w:val="36"/>
          <w:szCs w:val="36"/>
          <w:lang w:val="en-GB" w:eastAsia="zh-CN"/>
        </w:rPr>
        <w:t xml:space="preserve">arkedness </w:t>
      </w:r>
      <w:r w:rsidRPr="00BE26C8">
        <w:rPr>
          <w:rFonts w:ascii="Times New Roman" w:eastAsia="SimSun" w:hAnsi="Times New Roman" w:cs="Times New Roman"/>
          <w:sz w:val="36"/>
          <w:szCs w:val="36"/>
          <w:u w:val="single"/>
          <w:lang w:val="en-GB" w:eastAsia="zh-CN"/>
        </w:rPr>
        <w:t>A</w:t>
      </w:r>
      <w:r w:rsidRPr="00BE26C8">
        <w:rPr>
          <w:rFonts w:ascii="Times New Roman" w:eastAsia="SimSun" w:hAnsi="Times New Roman" w:cs="Times New Roman"/>
          <w:sz w:val="36"/>
          <w:szCs w:val="36"/>
          <w:lang w:val="en-GB" w:eastAsia="zh-CN"/>
        </w:rPr>
        <w:t xml:space="preserve">ssociation of </w:t>
      </w:r>
      <w:r w:rsidRPr="00BE26C8">
        <w:rPr>
          <w:rFonts w:ascii="Times New Roman" w:eastAsia="SimSun" w:hAnsi="Times New Roman" w:cs="Times New Roman"/>
          <w:sz w:val="36"/>
          <w:szCs w:val="36"/>
          <w:u w:val="single"/>
          <w:lang w:val="en-GB" w:eastAsia="zh-CN"/>
        </w:rPr>
        <w:t>R</w:t>
      </w:r>
      <w:r w:rsidRPr="00BE26C8">
        <w:rPr>
          <w:rFonts w:ascii="Times New Roman" w:eastAsia="SimSun" w:hAnsi="Times New Roman" w:cs="Times New Roman"/>
          <w:sz w:val="36"/>
          <w:szCs w:val="36"/>
          <w:lang w:val="en-GB" w:eastAsia="zh-CN"/>
        </w:rPr>
        <w:t xml:space="preserve">esponse </w:t>
      </w:r>
      <w:r w:rsidRPr="00BE26C8">
        <w:rPr>
          <w:rFonts w:ascii="Times New Roman" w:eastAsia="SimSun" w:hAnsi="Times New Roman" w:cs="Times New Roman"/>
          <w:sz w:val="36"/>
          <w:szCs w:val="36"/>
          <w:u w:val="single"/>
          <w:lang w:val="en-GB" w:eastAsia="zh-CN"/>
        </w:rPr>
        <w:t>C</w:t>
      </w:r>
      <w:r w:rsidRPr="00BE26C8">
        <w:rPr>
          <w:rFonts w:ascii="Times New Roman" w:eastAsia="SimSun" w:hAnsi="Times New Roman" w:cs="Times New Roman"/>
          <w:sz w:val="36"/>
          <w:szCs w:val="36"/>
          <w:lang w:val="en-GB" w:eastAsia="zh-CN"/>
        </w:rPr>
        <w:t>odes) effect (Nuerk et al., 2004).</w:t>
      </w:r>
    </w:p>
    <w:p w:rsidR="009F3881" w:rsidRPr="00BE26C8" w:rsidRDefault="009F3881" w:rsidP="009F3881">
      <w:pPr>
        <w:spacing w:line="360" w:lineRule="auto"/>
        <w:ind w:firstLine="567"/>
        <w:jc w:val="both"/>
        <w:rPr>
          <w:rFonts w:ascii="Times New Roman" w:eastAsia="SimSun" w:hAnsi="Times New Roman" w:cs="Times New Roman"/>
          <w:sz w:val="36"/>
          <w:szCs w:val="36"/>
          <w:lang w:val="en-GB" w:eastAsia="zh-CN"/>
        </w:rPr>
      </w:pPr>
    </w:p>
    <w:p w:rsidR="009F3881" w:rsidRPr="00BE26C8" w:rsidRDefault="009F3881" w:rsidP="009F3881">
      <w:pPr>
        <w:spacing w:line="360" w:lineRule="auto"/>
        <w:ind w:firstLine="567"/>
        <w:jc w:val="both"/>
        <w:rPr>
          <w:rFonts w:ascii="Times New Roman" w:hAnsi="Times New Roman" w:cs="Times New Roman"/>
          <w:sz w:val="36"/>
          <w:szCs w:val="36"/>
          <w:lang w:val="en-GB"/>
        </w:rPr>
      </w:pPr>
      <w:r w:rsidRPr="00BE26C8">
        <w:rPr>
          <w:rFonts w:ascii="Times New Roman" w:hAnsi="Times New Roman" w:cs="Times New Roman"/>
          <w:b/>
          <w:sz w:val="36"/>
          <w:szCs w:val="36"/>
          <w:lang w:val="en-GB"/>
        </w:rPr>
        <w:t>The MARC effect and between group comparison</w:t>
      </w:r>
      <w:r w:rsidRPr="00BE26C8">
        <w:rPr>
          <w:rFonts w:ascii="Times New Roman" w:hAnsi="Times New Roman" w:cs="Times New Roman"/>
          <w:sz w:val="36"/>
          <w:szCs w:val="36"/>
          <w:lang w:val="en-GB"/>
        </w:rPr>
        <w:t xml:space="preserve">. Analysis of the MARC effect parallels the analysis of the SNARC effect reported in the main text (again, more negative slopes correspond to stronger MARC effects). Interestingly, the MARC effect was present neither at the whole sample level nor in any group. Groups also did not differ between each other. Null hypothesis models were also favoured by </w:t>
      </w:r>
      <w:r w:rsidRPr="00BE26C8">
        <w:rPr>
          <w:rFonts w:ascii="Times New Roman" w:hAnsi="Times New Roman" w:cs="Times New Roman"/>
          <w:sz w:val="36"/>
          <w:szCs w:val="36"/>
          <w:lang w:val="en-GB" w:eastAsia="zh-CN"/>
        </w:rPr>
        <w:t xml:space="preserve">the Bayesian analyses (cf. Table S1). The results are not surprising because the MARC effect is relatively weak when Arabic numbers are used (Nuerk et al., 2004). Several studies have not found it whatsoever (see e.g., Nuerk et al., 2005; Cipora et al., 2019c). Moreover, it is very heterogeneous between participants (Cipora, Soltanlou, Reips, &amp; Nuerk, 2019a; Cipora, Soltanlou, </w:t>
      </w:r>
      <w:r w:rsidRPr="00BE26C8">
        <w:rPr>
          <w:rFonts w:ascii="Times New Roman" w:hAnsi="Times New Roman" w:cs="Times New Roman"/>
          <w:sz w:val="36"/>
          <w:szCs w:val="36"/>
          <w:lang w:val="en-GB" w:eastAsia="zh-CN"/>
        </w:rPr>
        <w:lastRenderedPageBreak/>
        <w:t xml:space="preserve">Smaczny, Göbel, &amp; Nuerk, 2019c; Huber et al., 2015, for the reversed effect in left-handers; see also Krajcsi, Lengyel, &amp; Laczkó, 2018 for evidence for large within- and between-subject variability of the SNARC effect). </w:t>
      </w: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both"/>
        <w:rPr>
          <w:rFonts w:ascii="Times New Roman" w:hAnsi="Times New Roman" w:cs="Times New Roman"/>
          <w:sz w:val="36"/>
          <w:szCs w:val="36"/>
          <w:lang w:val="en-GB" w:eastAsia="zh-CN"/>
        </w:rPr>
      </w:pPr>
    </w:p>
    <w:p w:rsidR="009F3881" w:rsidRPr="00BE26C8" w:rsidRDefault="009F3881" w:rsidP="009F3881">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Table S1 the Different MARC Effects between Gifted Children and the Controls</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50"/>
        <w:gridCol w:w="1113"/>
        <w:gridCol w:w="591"/>
        <w:gridCol w:w="1411"/>
        <w:gridCol w:w="1412"/>
        <w:gridCol w:w="1411"/>
        <w:gridCol w:w="1412"/>
      </w:tblGrid>
      <w:tr w:rsidR="009F3881" w:rsidRPr="00E778CE" w:rsidTr="00632EBD">
        <w:trPr>
          <w:trHeight w:val="300"/>
          <w:jc w:val="center"/>
        </w:trPr>
        <w:tc>
          <w:tcPr>
            <w:tcW w:w="3563" w:type="dxa"/>
            <w:gridSpan w:val="4"/>
            <w:vMerge w:val="restart"/>
            <w:tcBorders>
              <w:top w:val="single" w:sz="12" w:space="0" w:color="auto"/>
            </w:tcBorders>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lastRenderedPageBreak/>
              <w:t>Task property</w:t>
            </w:r>
          </w:p>
        </w:tc>
        <w:tc>
          <w:tcPr>
            <w:tcW w:w="2823" w:type="dxa"/>
            <w:gridSpan w:val="2"/>
            <w:tcBorders>
              <w:top w:val="single" w:sz="12" w:space="0" w:color="auto"/>
            </w:tcBorders>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MARC </w:t>
            </w:r>
          </w:p>
        </w:tc>
        <w:tc>
          <w:tcPr>
            <w:tcW w:w="2823" w:type="dxa"/>
            <w:gridSpan w:val="2"/>
            <w:tcBorders>
              <w:top w:val="single" w:sz="12" w:space="0" w:color="auto"/>
            </w:tcBorders>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ST-MARC </w:t>
            </w:r>
          </w:p>
        </w:tc>
      </w:tr>
      <w:tr w:rsidR="009F3881" w:rsidRPr="00E778CE" w:rsidTr="00632EBD">
        <w:trPr>
          <w:trHeight w:val="300"/>
          <w:jc w:val="center"/>
        </w:trPr>
        <w:tc>
          <w:tcPr>
            <w:tcW w:w="3563" w:type="dxa"/>
            <w:gridSpan w:val="4"/>
            <w:vMerge/>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r>
      <w:tr w:rsidR="009F3881" w:rsidRPr="00E778CE" w:rsidTr="00632EBD">
        <w:trPr>
          <w:trHeight w:val="300"/>
          <w:jc w:val="center"/>
        </w:trPr>
        <w:tc>
          <w:tcPr>
            <w:tcW w:w="3563" w:type="dxa"/>
            <w:gridSpan w:val="4"/>
            <w:tcBorders>
              <w:top w:val="single" w:sz="4" w:space="0" w:color="auto"/>
            </w:tcBorders>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Reliability</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0.79</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0.71</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0.70</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0.70</w:t>
            </w:r>
          </w:p>
        </w:tc>
      </w:tr>
      <w:tr w:rsidR="009F3881" w:rsidRPr="00E778CE" w:rsidTr="00632EBD">
        <w:trPr>
          <w:trHeight w:val="300"/>
          <w:jc w:val="center"/>
        </w:trPr>
        <w:tc>
          <w:tcPr>
            <w:tcW w:w="3563" w:type="dxa"/>
            <w:gridSpan w:val="4"/>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SD slope</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231.31</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187.93</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0.76</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0.40</w:t>
            </w:r>
          </w:p>
        </w:tc>
      </w:tr>
      <w:tr w:rsidR="009F3881" w:rsidRPr="00E778CE" w:rsidTr="00632EBD">
        <w:trPr>
          <w:trHeight w:val="300"/>
          <w:jc w:val="center"/>
        </w:trPr>
        <w:tc>
          <w:tcPr>
            <w:tcW w:w="3563" w:type="dxa"/>
            <w:gridSpan w:val="4"/>
            <w:tcBorders>
              <w:bottom w:val="single" w:sz="4" w:space="0" w:color="auto"/>
            </w:tcBorders>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neg. slopes</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0.49</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0.47</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0.49</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0.47</w:t>
            </w:r>
          </w:p>
        </w:tc>
      </w:tr>
      <w:tr w:rsidR="009F3881" w:rsidRPr="00E778CE" w:rsidTr="00632EBD">
        <w:trPr>
          <w:trHeight w:val="300"/>
          <w:jc w:val="center"/>
        </w:trPr>
        <w:tc>
          <w:tcPr>
            <w:tcW w:w="709" w:type="dxa"/>
            <w:vMerge w:val="restart"/>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Slope</w:t>
            </w:r>
          </w:p>
        </w:tc>
        <w:tc>
          <w:tcPr>
            <w:tcW w:w="1150"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Overall</w:t>
            </w:r>
          </w:p>
        </w:tc>
        <w:tc>
          <w:tcPr>
            <w:tcW w:w="1704" w:type="dxa"/>
            <w:gridSpan w:val="2"/>
            <w:tcBorders>
              <w:top w:val="single" w:sz="4" w:space="0" w:color="auto"/>
            </w:tcBorders>
            <w:vAlign w:val="center"/>
          </w:tcPr>
          <w:p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-24.68</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-8.15</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restart"/>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against 0 </w:t>
            </w:r>
          </w:p>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 xml:space="preserve">df </w:t>
            </w:r>
            <w:r w:rsidRPr="00BE26C8">
              <w:rPr>
                <w:rFonts w:ascii="Times New Roman" w:eastAsia="Times New Roman" w:hAnsi="Times New Roman" w:cs="Times New Roman"/>
                <w:color w:val="000000"/>
                <w:sz w:val="36"/>
                <w:szCs w:val="36"/>
                <w:lang w:val="en-GB"/>
              </w:rPr>
              <w:t>= 164)</w:t>
            </w: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-1.37</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-0.56</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-0.25</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.172</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.578</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.806</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.765</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0.11</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4.602</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9.873</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b/>
                <w:color w:val="000000"/>
                <w:sz w:val="36"/>
                <w:szCs w:val="36"/>
                <w:lang w:val="en-GB"/>
              </w:rPr>
            </w:pPr>
            <w:r w:rsidRPr="00BE26C8">
              <w:rPr>
                <w:rFonts w:ascii="Times New Roman" w:eastAsia="Times New Roman" w:hAnsi="Times New Roman" w:cs="Times New Roman"/>
                <w:color w:val="000000"/>
                <w:sz w:val="36"/>
                <w:szCs w:val="36"/>
                <w:lang w:val="en-GB"/>
              </w:rPr>
              <w:t>11.17</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11.02</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Gifted</w:t>
            </w:r>
          </w:p>
        </w:tc>
        <w:tc>
          <w:tcPr>
            <w:tcW w:w="1704" w:type="dxa"/>
            <w:gridSpan w:val="2"/>
            <w:tcBorders>
              <w:top w:val="single" w:sz="4" w:space="0" w:color="auto"/>
            </w:tcBorders>
            <w:vAlign w:val="center"/>
          </w:tcPr>
          <w:p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-13.19</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-7.35</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-0.05</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restart"/>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t-test against 0</w:t>
            </w:r>
          </w:p>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73)</w:t>
            </w: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-0.66</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-0.38</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-0.75</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-0.58</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.510</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.707</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.459</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.561</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0.08</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6.340</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7.293</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5.966</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6.650</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Control</w:t>
            </w:r>
          </w:p>
        </w:tc>
        <w:tc>
          <w:tcPr>
            <w:tcW w:w="1704" w:type="dxa"/>
            <w:gridSpan w:val="2"/>
            <w:tcBorders>
              <w:top w:val="single" w:sz="4" w:space="0" w:color="auto"/>
            </w:tcBorders>
            <w:vAlign w:val="center"/>
          </w:tcPr>
          <w:p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-34.03</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-8.80</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0.03</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restart"/>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against 0 </w:t>
            </w:r>
          </w:p>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90)</w:t>
            </w: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-1.2</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-0.41</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0.35</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0.18</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.234</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.681</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.727</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.857</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0.13</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4.313</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7.955</w:t>
            </w:r>
          </w:p>
        </w:tc>
        <w:tc>
          <w:tcPr>
            <w:tcW w:w="141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8.133</w:t>
            </w:r>
          </w:p>
        </w:tc>
        <w:tc>
          <w:tcPr>
            <w:tcW w:w="1412"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8.497</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Group comparison</w:t>
            </w:r>
          </w:p>
        </w:tc>
        <w:tc>
          <w:tcPr>
            <w:tcW w:w="1113"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w:t>
            </w:r>
          </w:p>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163)</w:t>
            </w:r>
          </w:p>
        </w:tc>
        <w:tc>
          <w:tcPr>
            <w:tcW w:w="59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0.57</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0.05</w:t>
            </w:r>
          </w:p>
        </w:tc>
        <w:tc>
          <w:tcPr>
            <w:tcW w:w="141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-0.79</w:t>
            </w:r>
          </w:p>
        </w:tc>
        <w:tc>
          <w:tcPr>
            <w:tcW w:w="1412"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-0.58</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.567</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.961</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.430</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.562</w:t>
            </w:r>
          </w:p>
        </w:tc>
      </w:tr>
      <w:tr w:rsidR="009F3881" w:rsidRPr="00E778CE" w:rsidTr="00632EBD">
        <w:trPr>
          <w:trHeight w:val="300"/>
          <w:jc w:val="center"/>
        </w:trPr>
        <w:tc>
          <w:tcPr>
            <w:tcW w:w="709" w:type="dxa"/>
            <w:vMerge/>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0.09</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0.01</w:t>
            </w:r>
          </w:p>
        </w:tc>
        <w:tc>
          <w:tcPr>
            <w:tcW w:w="1411" w:type="dxa"/>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-0.12</w:t>
            </w:r>
          </w:p>
        </w:tc>
        <w:tc>
          <w:tcPr>
            <w:tcW w:w="1412" w:type="dxa"/>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-0.09</w:t>
            </w:r>
          </w:p>
        </w:tc>
      </w:tr>
      <w:tr w:rsidR="009F3881" w:rsidRPr="00E778CE" w:rsidTr="00632EBD">
        <w:trPr>
          <w:trHeight w:val="300"/>
          <w:jc w:val="center"/>
        </w:trPr>
        <w:tc>
          <w:tcPr>
            <w:tcW w:w="709" w:type="dxa"/>
            <w:vMerge/>
            <w:tcBorders>
              <w:bottom w:val="single" w:sz="12"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12"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5.091</w:t>
            </w:r>
          </w:p>
        </w:tc>
        <w:tc>
          <w:tcPr>
            <w:tcW w:w="1412"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5.909</w:t>
            </w:r>
          </w:p>
        </w:tc>
        <w:tc>
          <w:tcPr>
            <w:tcW w:w="1411" w:type="dxa"/>
            <w:tcBorders>
              <w:bottom w:val="single" w:sz="12"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4.434</w:t>
            </w:r>
          </w:p>
        </w:tc>
        <w:tc>
          <w:tcPr>
            <w:tcW w:w="1412"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5.064</w:t>
            </w:r>
          </w:p>
        </w:tc>
      </w:tr>
    </w:tbl>
    <w:p w:rsidR="009F3881" w:rsidRPr="00BE26C8" w:rsidRDefault="009F3881" w:rsidP="009F3881">
      <w:pPr>
        <w:spacing w:line="360" w:lineRule="auto"/>
        <w:jc w:val="both"/>
        <w:rPr>
          <w:rFonts w:ascii="Times New Roman" w:hAnsi="Times New Roman" w:cs="Times New Roman"/>
          <w:b/>
          <w:sz w:val="36"/>
          <w:szCs w:val="36"/>
          <w:lang w:val="en-GB"/>
        </w:rPr>
      </w:pPr>
    </w:p>
    <w:p w:rsidR="009F3881" w:rsidRPr="00BE26C8" w:rsidRDefault="009F3881" w:rsidP="009F3881">
      <w:pPr>
        <w:spacing w:line="360" w:lineRule="auto"/>
        <w:jc w:val="both"/>
        <w:rPr>
          <w:rFonts w:ascii="Times New Roman" w:hAnsi="Times New Roman" w:cs="Times New Roman"/>
          <w:b/>
          <w:sz w:val="36"/>
          <w:szCs w:val="36"/>
          <w:lang w:val="en-GB"/>
        </w:rPr>
      </w:pPr>
    </w:p>
    <w:p w:rsidR="009F3881" w:rsidRPr="00BE26C8" w:rsidRDefault="009F3881" w:rsidP="009F3881">
      <w:pPr>
        <w:spacing w:line="360" w:lineRule="auto"/>
        <w:ind w:firstLine="567"/>
        <w:jc w:val="both"/>
        <w:rPr>
          <w:rFonts w:ascii="Times New Roman" w:hAnsi="Times New Roman" w:cs="Times New Roman"/>
          <w:b/>
          <w:sz w:val="36"/>
          <w:szCs w:val="36"/>
          <w:lang w:val="en-GB"/>
        </w:rPr>
      </w:pPr>
      <w:r w:rsidRPr="00BE26C8">
        <w:rPr>
          <w:rFonts w:ascii="Times New Roman" w:hAnsi="Times New Roman" w:cs="Times New Roman"/>
          <w:b/>
          <w:sz w:val="36"/>
          <w:szCs w:val="36"/>
          <w:lang w:val="en-GB"/>
        </w:rPr>
        <w:t xml:space="preserve">The correlation analysis for the MARC effect and other measures. </w:t>
      </w:r>
      <w:r w:rsidRPr="00BE26C8">
        <w:rPr>
          <w:rFonts w:ascii="Times New Roman" w:hAnsi="Times New Roman" w:cs="Times New Roman"/>
          <w:sz w:val="36"/>
          <w:szCs w:val="36"/>
          <w:lang w:val="en-GB"/>
        </w:rPr>
        <w:t xml:space="preserve">All the correlations between the SNARC effect and the MARC effect were not significant, </w:t>
      </w:r>
      <w:r w:rsidRPr="00BE26C8">
        <w:rPr>
          <w:rFonts w:ascii="Times New Roman" w:hAnsi="Times New Roman" w:cs="Times New Roman"/>
          <w:i/>
          <w:sz w:val="36"/>
          <w:szCs w:val="36"/>
          <w:lang w:val="en-GB"/>
        </w:rPr>
        <w:t>r</w:t>
      </w:r>
      <w:r w:rsidRPr="00BE26C8">
        <w:rPr>
          <w:rFonts w:ascii="Times New Roman" w:hAnsi="Times New Roman" w:cs="Times New Roman"/>
          <w:sz w:val="36"/>
          <w:szCs w:val="36"/>
          <w:lang w:val="en-GB"/>
        </w:rPr>
        <w:t xml:space="preserve">s ≤ .15, </w:t>
      </w:r>
      <w:r w:rsidRPr="00BE26C8">
        <w:rPr>
          <w:rFonts w:ascii="Times New Roman" w:hAnsi="Times New Roman" w:cs="Times New Roman"/>
          <w:i/>
          <w:sz w:val="36"/>
          <w:szCs w:val="36"/>
          <w:lang w:val="en-GB"/>
        </w:rPr>
        <w:t>p</w:t>
      </w:r>
      <w:r w:rsidRPr="00BE26C8">
        <w:rPr>
          <w:rFonts w:ascii="Times New Roman" w:hAnsi="Times New Roman" w:cs="Times New Roman"/>
          <w:sz w:val="36"/>
          <w:szCs w:val="36"/>
          <w:lang w:val="en-GB"/>
        </w:rPr>
        <w:t xml:space="preserve">s ≥ .050. Apart from this, all other correlations for the MARC effect and the other measures are presented in Table S2. RSPM score correlated with the ST-MARC without 0 and 5, </w:t>
      </w:r>
      <w:r w:rsidRPr="00BE26C8">
        <w:rPr>
          <w:rFonts w:ascii="Times New Roman" w:hAnsi="Times New Roman" w:cs="Times New Roman"/>
          <w:i/>
          <w:sz w:val="36"/>
          <w:szCs w:val="36"/>
          <w:lang w:val="en-GB"/>
        </w:rPr>
        <w:t>r</w:t>
      </w:r>
      <w:r w:rsidRPr="00BE26C8">
        <w:rPr>
          <w:rFonts w:ascii="Times New Roman" w:hAnsi="Times New Roman" w:cs="Times New Roman"/>
          <w:sz w:val="36"/>
          <w:szCs w:val="36"/>
          <w:lang w:val="en-GB"/>
        </w:rPr>
        <w:t xml:space="preserve"> = -.16, </w:t>
      </w:r>
      <w:r w:rsidRPr="00BE26C8">
        <w:rPr>
          <w:rFonts w:ascii="Times New Roman" w:hAnsi="Times New Roman" w:cs="Times New Roman"/>
          <w:i/>
          <w:sz w:val="36"/>
          <w:szCs w:val="36"/>
          <w:lang w:val="en-GB"/>
        </w:rPr>
        <w:t>p</w:t>
      </w:r>
      <w:r w:rsidRPr="00BE26C8">
        <w:rPr>
          <w:rFonts w:ascii="Times New Roman" w:hAnsi="Times New Roman" w:cs="Times New Roman"/>
          <w:sz w:val="36"/>
          <w:szCs w:val="36"/>
          <w:lang w:val="en-GB"/>
        </w:rPr>
        <w:t xml:space="preserve"> &lt; .05, BF</w:t>
      </w:r>
      <w:r w:rsidRPr="00BE26C8">
        <w:rPr>
          <w:rFonts w:ascii="Times New Roman" w:hAnsi="Times New Roman" w:cs="Times New Roman"/>
          <w:sz w:val="36"/>
          <w:szCs w:val="36"/>
          <w:vertAlign w:val="subscript"/>
          <w:lang w:val="en-GB"/>
        </w:rPr>
        <w:t xml:space="preserve">01 </w:t>
      </w:r>
      <w:r w:rsidRPr="00BE26C8">
        <w:rPr>
          <w:rFonts w:ascii="Times New Roman" w:hAnsi="Times New Roman" w:cs="Times New Roman"/>
          <w:sz w:val="36"/>
          <w:szCs w:val="36"/>
          <w:lang w:val="en-GB"/>
        </w:rPr>
        <w:t xml:space="preserve">= 1.337, and the ST-MARC with 0 to 9, </w:t>
      </w:r>
      <w:r w:rsidRPr="00BE26C8">
        <w:rPr>
          <w:rFonts w:ascii="Times New Roman" w:hAnsi="Times New Roman" w:cs="Times New Roman"/>
          <w:i/>
          <w:sz w:val="36"/>
          <w:szCs w:val="36"/>
          <w:lang w:val="en-GB"/>
        </w:rPr>
        <w:t>r</w:t>
      </w:r>
      <w:r w:rsidRPr="00BE26C8">
        <w:rPr>
          <w:rFonts w:ascii="Times New Roman" w:hAnsi="Times New Roman" w:cs="Times New Roman"/>
          <w:sz w:val="36"/>
          <w:szCs w:val="36"/>
          <w:lang w:val="en-GB"/>
        </w:rPr>
        <w:t xml:space="preserve"> = -.18, </w:t>
      </w:r>
      <w:r w:rsidRPr="00BE26C8">
        <w:rPr>
          <w:rFonts w:ascii="Times New Roman" w:hAnsi="Times New Roman" w:cs="Times New Roman"/>
          <w:i/>
          <w:sz w:val="36"/>
          <w:szCs w:val="36"/>
          <w:lang w:val="en-GB"/>
        </w:rPr>
        <w:t>p</w:t>
      </w:r>
      <w:r w:rsidRPr="00BE26C8">
        <w:rPr>
          <w:rFonts w:ascii="Times New Roman" w:hAnsi="Times New Roman" w:cs="Times New Roman"/>
          <w:sz w:val="36"/>
          <w:szCs w:val="36"/>
          <w:lang w:val="en-GB"/>
        </w:rPr>
        <w:t xml:space="preserve"> &lt; .05, BF</w:t>
      </w:r>
      <w:r w:rsidRPr="00BE26C8">
        <w:rPr>
          <w:rFonts w:ascii="Times New Roman" w:hAnsi="Times New Roman" w:cs="Times New Roman"/>
          <w:sz w:val="36"/>
          <w:szCs w:val="36"/>
          <w:vertAlign w:val="subscript"/>
          <w:lang w:val="en-GB"/>
        </w:rPr>
        <w:t xml:space="preserve">01 </w:t>
      </w:r>
      <w:r w:rsidRPr="00BE26C8">
        <w:rPr>
          <w:rFonts w:ascii="Times New Roman" w:hAnsi="Times New Roman" w:cs="Times New Roman"/>
          <w:sz w:val="36"/>
          <w:szCs w:val="36"/>
          <w:lang w:val="en-GB"/>
        </w:rPr>
        <w:t>= 0.800, respectively. However, Bayesian evidence for this correlation are highly inconclusive.</w:t>
      </w:r>
    </w:p>
    <w:p w:rsidR="009F3881" w:rsidRPr="00BE26C8" w:rsidRDefault="009F3881" w:rsidP="009F3881">
      <w:pPr>
        <w:spacing w:line="360" w:lineRule="auto"/>
        <w:rPr>
          <w:rFonts w:ascii="Times New Roman" w:hAnsi="Times New Roman" w:cs="Times New Roman"/>
          <w:sz w:val="36"/>
          <w:szCs w:val="36"/>
          <w:lang w:val="en-GB"/>
        </w:rPr>
      </w:pPr>
    </w:p>
    <w:p w:rsidR="009F3881" w:rsidRPr="00BE26C8" w:rsidRDefault="009F3881" w:rsidP="009F3881">
      <w:pPr>
        <w:spacing w:line="360" w:lineRule="auto"/>
        <w:rPr>
          <w:rFonts w:ascii="Times New Roman" w:hAnsi="Times New Roman" w:cs="Times New Roman"/>
          <w:sz w:val="36"/>
          <w:szCs w:val="36"/>
          <w:lang w:val="en-GB"/>
        </w:rPr>
      </w:pPr>
    </w:p>
    <w:p w:rsidR="009F3881" w:rsidRPr="00BE26C8" w:rsidRDefault="009F3881" w:rsidP="009F3881">
      <w:pPr>
        <w:spacing w:line="360" w:lineRule="auto"/>
        <w:rPr>
          <w:rFonts w:ascii="Times New Roman" w:hAnsi="Times New Roman" w:cs="Times New Roman"/>
          <w:sz w:val="36"/>
          <w:szCs w:val="36"/>
          <w:lang w:val="en-GB"/>
        </w:rPr>
      </w:pPr>
    </w:p>
    <w:p w:rsidR="009F3881" w:rsidRPr="00BE26C8" w:rsidRDefault="009F3881" w:rsidP="009F3881">
      <w:pPr>
        <w:spacing w:line="360" w:lineRule="auto"/>
        <w:rPr>
          <w:rFonts w:ascii="Times New Roman" w:hAnsi="Times New Roman" w:cs="Times New Roman"/>
          <w:sz w:val="36"/>
          <w:szCs w:val="36"/>
          <w:lang w:val="en-GB"/>
        </w:rPr>
      </w:pPr>
    </w:p>
    <w:p w:rsidR="009F3881" w:rsidRPr="00BE26C8" w:rsidRDefault="009F3881" w:rsidP="009F3881">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Table S2 the Correlations between the MARC effect and the other measures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gridCol w:w="1134"/>
      </w:tblGrid>
      <w:tr w:rsidR="009F3881" w:rsidRPr="00E778CE" w:rsidTr="00632EBD">
        <w:trPr>
          <w:trHeight w:val="690"/>
        </w:trPr>
        <w:tc>
          <w:tcPr>
            <w:tcW w:w="1134" w:type="dxa"/>
            <w:tcBorders>
              <w:top w:val="single" w:sz="12" w:space="0" w:color="auto"/>
              <w:bottom w:val="single" w:sz="4" w:space="0" w:color="auto"/>
            </w:tcBorders>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Variable</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(4)</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(5)</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w:t>
            </w:r>
          </w:p>
        </w:tc>
        <w:tc>
          <w:tcPr>
            <w:tcW w:w="1134" w:type="dxa"/>
            <w:tcBorders>
              <w:top w:val="single" w:sz="12" w:space="0" w:color="auto"/>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w:t>
            </w:r>
          </w:p>
        </w:tc>
      </w:tr>
      <w:tr w:rsidR="009F3881" w:rsidRPr="00E778CE" w:rsidTr="00632EBD">
        <w:trPr>
          <w:trHeight w:val="690"/>
        </w:trPr>
        <w:tc>
          <w:tcPr>
            <w:tcW w:w="1134" w:type="dxa"/>
            <w:tcBorders>
              <w:top w:val="single" w:sz="4" w:space="0" w:color="auto"/>
            </w:tcBorders>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(1) MARC</w:t>
            </w:r>
          </w:p>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(1-4 6-9)</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1.335</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0.669</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9.194</w:t>
            </w:r>
          </w:p>
        </w:tc>
        <w:tc>
          <w:tcPr>
            <w:tcW w:w="1134" w:type="dxa"/>
            <w:tcBorders>
              <w:top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6.759</w:t>
            </w:r>
          </w:p>
        </w:tc>
      </w:tr>
      <w:tr w:rsidR="009F3881" w:rsidRPr="00E778CE" w:rsidTr="00632EBD">
        <w:trPr>
          <w:trHeight w:val="690"/>
        </w:trPr>
        <w:tc>
          <w:tcPr>
            <w:tcW w:w="1134" w:type="dxa"/>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(2) ST-MARC (1-4 6-9)</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vertAlign w:val="superscript"/>
                <w:lang w:val="en-GB"/>
              </w:rPr>
            </w:pPr>
            <w:r w:rsidRPr="00BE26C8">
              <w:rPr>
                <w:rFonts w:ascii="Times New Roman" w:hAnsi="Times New Roman" w:cs="Times New Roman"/>
                <w:sz w:val="36"/>
                <w:szCs w:val="36"/>
                <w:lang w:val="en-GB"/>
              </w:rPr>
              <w:t>.83</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(.78; .87)</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0.001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6.890</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6.265</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1.337</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7.398</w:t>
            </w:r>
          </w:p>
        </w:tc>
      </w:tr>
      <w:tr w:rsidR="009F3881" w:rsidRPr="00E778CE" w:rsidTr="00632EBD">
        <w:trPr>
          <w:trHeight w:val="690"/>
        </w:trPr>
        <w:tc>
          <w:tcPr>
            <w:tcW w:w="1134" w:type="dxa"/>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(3) MARC</w:t>
            </w:r>
          </w:p>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(0-9)</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.84</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(.79; .88)</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.84</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(.79; .88)</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1.252</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0.122</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3.423</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8.006</w:t>
            </w:r>
          </w:p>
        </w:tc>
      </w:tr>
      <w:tr w:rsidR="009F3881" w:rsidRPr="00E778CE" w:rsidTr="00632EBD">
        <w:trPr>
          <w:trHeight w:val="690"/>
        </w:trPr>
        <w:tc>
          <w:tcPr>
            <w:tcW w:w="1134" w:type="dxa"/>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lastRenderedPageBreak/>
              <w:t>(4) ST-MARC (0-9)</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.75</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(.67; .81)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.94</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(.92; .96)</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.89</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(.85; .91)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7.779</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5.514</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0.800</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7.187</w:t>
            </w:r>
          </w:p>
        </w:tc>
      </w:tr>
      <w:tr w:rsidR="009F3881" w:rsidRPr="00E778CE" w:rsidTr="00632EBD">
        <w:trPr>
          <w:trHeight w:val="690"/>
        </w:trPr>
        <w:tc>
          <w:tcPr>
            <w:tcW w:w="1134" w:type="dxa"/>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(5) Mean RT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-.16</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(-.30; -.01)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-.07</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(-.22; .08)</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-.16</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(-.31; -.01)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-.06</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(-.21; .10)</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0.004</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r>
      <w:tr w:rsidR="009F3881" w:rsidRPr="00E778CE" w:rsidTr="00632EBD">
        <w:trPr>
          <w:trHeight w:val="690"/>
        </w:trPr>
        <w:tc>
          <w:tcPr>
            <w:tcW w:w="1134" w:type="dxa"/>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(6) SD (RT)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-.18</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(-.33; -.03)</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-.08</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 .08)</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(-.37; -.08)</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-.09</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(-.24; .07)</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.88</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(.84; .91)</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0.023</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r>
      <w:tr w:rsidR="009F3881" w:rsidRPr="00E778CE" w:rsidTr="00632EBD">
        <w:trPr>
          <w:trHeight w:val="690"/>
        </w:trPr>
        <w:tc>
          <w:tcPr>
            <w:tcW w:w="1134" w:type="dxa"/>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(7) RSPM score</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-.03</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(-.189; .13)</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-.16</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(-.31; -.00)</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-.12</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(-.27; .04)</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-.18</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(-.33; -.02)</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-.31</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(-.45; -.16)</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-.28</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(-.42; -.13)</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r>
      <w:tr w:rsidR="009F3881" w:rsidRPr="00E778CE" w:rsidTr="00632EBD">
        <w:trPr>
          <w:trHeight w:val="690"/>
        </w:trPr>
        <w:tc>
          <w:tcPr>
            <w:tcW w:w="1134" w:type="dxa"/>
            <w:tcBorders>
              <w:bottom w:val="single" w:sz="4" w:space="0" w:color="auto"/>
            </w:tcBorders>
            <w:vAlign w:val="center"/>
          </w:tcPr>
          <w:p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(8)Arithmetic score</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-.07</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 .09)</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-.06</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(-.22; .09)</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-.05</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(-.21; .10)</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-.07</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(-.22; .09)</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-.39</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(-.25; -.52)</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-.37</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 -.50)</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.35</w:t>
            </w:r>
            <w:r w:rsidRPr="00BE26C8">
              <w:rPr>
                <w:rFonts w:ascii="Times New Roman" w:hAnsi="Times New Roman" w:cs="Times New Roman"/>
                <w:sz w:val="36"/>
                <w:szCs w:val="36"/>
                <w:vertAlign w:val="superscript"/>
                <w:lang w:val="en-GB"/>
              </w:rPr>
              <w:t>***</w:t>
            </w:r>
          </w:p>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(.20; .48)</w:t>
            </w:r>
          </w:p>
        </w:tc>
        <w:tc>
          <w:tcPr>
            <w:tcW w:w="1134" w:type="dxa"/>
            <w:tcBorders>
              <w:bottom w:val="single" w:sz="4" w:space="0" w:color="auto"/>
            </w:tcBorders>
            <w:vAlign w:val="center"/>
          </w:tcPr>
          <w:p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r>
    </w:tbl>
    <w:p w:rsidR="009F3881" w:rsidRPr="00BE26C8" w:rsidRDefault="009F3881" w:rsidP="009F3881">
      <w:pPr>
        <w:pStyle w:val="CommentText"/>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Note: Below the diagonal: Pearson correlations (95%CI); *p &lt; .05, **p &lt; .01, ***p &lt; .001; Above the diagonal: BF</w:t>
      </w:r>
      <w:r w:rsidRPr="00BE26C8">
        <w:rPr>
          <w:rFonts w:ascii="Times New Roman" w:hAnsi="Times New Roman" w:cs="Times New Roman"/>
          <w:sz w:val="36"/>
          <w:szCs w:val="36"/>
          <w:vertAlign w:val="subscript"/>
          <w:lang w:val="en-GB"/>
        </w:rPr>
        <w:t>01</w:t>
      </w:r>
      <w:r w:rsidRPr="00BE26C8">
        <w:rPr>
          <w:rFonts w:ascii="Times New Roman" w:hAnsi="Times New Roman" w:cs="Times New Roman"/>
          <w:sz w:val="36"/>
          <w:szCs w:val="36"/>
          <w:lang w:val="en-GB"/>
        </w:rPr>
        <w:t>.</w:t>
      </w:r>
    </w:p>
    <w:p w:rsidR="009F3881" w:rsidRPr="00BE26C8" w:rsidRDefault="009F3881" w:rsidP="009F3881">
      <w:pPr>
        <w:pStyle w:val="CommentText"/>
        <w:spacing w:line="360" w:lineRule="auto"/>
        <w:rPr>
          <w:rFonts w:ascii="Times New Roman" w:hAnsi="Times New Roman" w:cs="Times New Roman"/>
          <w:sz w:val="36"/>
          <w:szCs w:val="36"/>
          <w:lang w:val="en-GB"/>
        </w:rPr>
      </w:pPr>
    </w:p>
    <w:p w:rsidR="009F3881" w:rsidRPr="00BE26C8" w:rsidRDefault="009F3881" w:rsidP="009F3881">
      <w:pPr>
        <w:pStyle w:val="CommentText"/>
        <w:spacing w:line="360" w:lineRule="auto"/>
        <w:rPr>
          <w:rFonts w:ascii="Times New Roman" w:hAnsi="Times New Roman" w:cs="Times New Roman"/>
          <w:sz w:val="36"/>
          <w:szCs w:val="36"/>
          <w:lang w:val="en-GB"/>
        </w:rPr>
      </w:pPr>
    </w:p>
    <w:p w:rsidR="009F3881" w:rsidRPr="00BE26C8" w:rsidRDefault="009F3881" w:rsidP="009F3881">
      <w:pPr>
        <w:spacing w:line="360" w:lineRule="auto"/>
        <w:ind w:firstLine="567"/>
        <w:rPr>
          <w:rFonts w:ascii="Times New Roman" w:eastAsia="SimSun" w:hAnsi="Times New Roman" w:cs="Times New Roman"/>
          <w:b/>
          <w:sz w:val="36"/>
          <w:szCs w:val="36"/>
          <w:lang w:val="en-GB" w:eastAsia="zh-CN"/>
        </w:rPr>
      </w:pPr>
      <w:r w:rsidRPr="00BE26C8">
        <w:rPr>
          <w:rFonts w:ascii="Times New Roman" w:hAnsi="Times New Roman" w:cs="Times New Roman"/>
          <w:b/>
          <w:sz w:val="36"/>
          <w:szCs w:val="36"/>
          <w:lang w:val="en-GB"/>
        </w:rPr>
        <w:lastRenderedPageBreak/>
        <w:t>Summary.</w:t>
      </w:r>
      <w:r w:rsidRPr="00BE26C8">
        <w:rPr>
          <w:rFonts w:ascii="Times New Roman" w:eastAsia="SimSun" w:hAnsi="Times New Roman" w:cs="Times New Roman"/>
          <w:b/>
          <w:sz w:val="36"/>
          <w:szCs w:val="36"/>
          <w:lang w:val="en-GB" w:eastAsia="zh-CN"/>
        </w:rPr>
        <w:t xml:space="preserve"> </w:t>
      </w:r>
      <w:r w:rsidRPr="00BE26C8">
        <w:rPr>
          <w:rFonts w:ascii="Times New Roman" w:hAnsi="Times New Roman" w:cs="Times New Roman"/>
          <w:sz w:val="36"/>
          <w:szCs w:val="36"/>
          <w:lang w:val="en-GB"/>
        </w:rPr>
        <w:t>The evidence of the MARC effect, its correlates and developmental trajectories in the literature is much scarcer than for the SNARC effect. Nevertheless, our results at least partly correspond to those of Berch et al. (1999), who found the MARC effect in sixth graders (mean age 11 years 8 months; range 8 years 2 months - 12 years 7 months) but not in third and fourth graders (age range 8 years 4 months - 10 years 8 months). Additionally, the MARC effect has not always been found in experiments using Arabic numbers, while it was more pronounced when number words or auditory numbers were used (Nuerk et al., 2004). We are also not aware of any study reporting the MARC effect in native Chinese speakers. Thus, we refrain from making strong conclusions about the MARC effect here.</w:t>
      </w:r>
    </w:p>
    <w:p w:rsidR="009F3881" w:rsidRPr="00BE26C8" w:rsidRDefault="009F3881" w:rsidP="009F3881">
      <w:pPr>
        <w:pStyle w:val="CommentText"/>
        <w:spacing w:line="360" w:lineRule="auto"/>
        <w:rPr>
          <w:sz w:val="36"/>
          <w:szCs w:val="36"/>
          <w:lang w:val="en-GB"/>
        </w:rPr>
      </w:pPr>
    </w:p>
    <w:p w:rsidR="009F3881" w:rsidRPr="00BE26C8" w:rsidRDefault="009F3881" w:rsidP="009F3881">
      <w:pPr>
        <w:pStyle w:val="CommentText"/>
        <w:spacing w:line="360" w:lineRule="auto"/>
        <w:rPr>
          <w:sz w:val="36"/>
          <w:szCs w:val="36"/>
          <w:lang w:val="en-GB"/>
        </w:rPr>
      </w:pPr>
    </w:p>
    <w:p w:rsidR="009F3881" w:rsidRPr="00BE26C8" w:rsidRDefault="009F3881" w:rsidP="009F3881">
      <w:pPr>
        <w:pStyle w:val="CommentText"/>
        <w:spacing w:line="360" w:lineRule="auto"/>
        <w:rPr>
          <w:sz w:val="36"/>
          <w:szCs w:val="36"/>
          <w:lang w:val="en-GB"/>
        </w:rPr>
      </w:pPr>
    </w:p>
    <w:p w:rsidR="009F3881" w:rsidRPr="00BE26C8" w:rsidRDefault="009F3881" w:rsidP="009F3881">
      <w:pPr>
        <w:pStyle w:val="CommentText"/>
        <w:spacing w:line="360" w:lineRule="auto"/>
        <w:rPr>
          <w:sz w:val="36"/>
          <w:szCs w:val="36"/>
          <w:lang w:val="en-GB"/>
        </w:rPr>
      </w:pPr>
    </w:p>
    <w:p w:rsidR="009F3881" w:rsidRPr="00BE26C8" w:rsidRDefault="009F3881" w:rsidP="009F3881">
      <w:pPr>
        <w:pStyle w:val="CommentText"/>
        <w:spacing w:line="360" w:lineRule="auto"/>
        <w:rPr>
          <w:sz w:val="36"/>
          <w:szCs w:val="36"/>
          <w:lang w:val="en-GB"/>
        </w:rPr>
        <w:sectPr w:rsidR="009F3881" w:rsidRPr="00BE26C8" w:rsidSect="009F3881">
          <w:headerReference w:type="default" r:id="rId4"/>
          <w:footerReference w:type="default" r:id="rId5"/>
          <w:footnotePr>
            <w:numFmt w:val="chicago"/>
          </w:footnotePr>
          <w:pgSz w:w="11906" w:h="16838"/>
          <w:pgMar w:top="1417" w:right="1417" w:bottom="1134" w:left="1417" w:header="720" w:footer="720" w:gutter="0"/>
          <w:cols w:space="720"/>
          <w:docGrid w:linePitch="360"/>
        </w:sectPr>
      </w:pPr>
    </w:p>
    <w:p w:rsidR="009F3881" w:rsidRPr="00BE26C8" w:rsidRDefault="009F3881" w:rsidP="009F3881">
      <w:pPr>
        <w:spacing w:line="360" w:lineRule="auto"/>
        <w:rPr>
          <w:rFonts w:ascii="Times New Roman" w:eastAsia="SimSun" w:hAnsi="Times New Roman" w:cs="Times New Roman"/>
          <w:b/>
          <w:sz w:val="36"/>
          <w:szCs w:val="36"/>
          <w:lang w:val="en-GB" w:eastAsia="zh-CN"/>
        </w:rPr>
      </w:pPr>
      <w:r w:rsidRPr="00BE26C8">
        <w:rPr>
          <w:rFonts w:ascii="Times New Roman" w:eastAsia="SimSun" w:hAnsi="Times New Roman" w:cs="Times New Roman"/>
          <w:b/>
          <w:sz w:val="36"/>
          <w:szCs w:val="36"/>
          <w:lang w:val="en-GB" w:eastAsia="zh-CN"/>
        </w:rPr>
        <w:lastRenderedPageBreak/>
        <w:t>Gender differences in the SNARC and MARC effects</w:t>
      </w:r>
    </w:p>
    <w:p w:rsidR="009F3881" w:rsidRPr="00BE26C8" w:rsidRDefault="009F3881" w:rsidP="009F3881">
      <w:pPr>
        <w:spacing w:line="360" w:lineRule="auto"/>
        <w:ind w:firstLine="567"/>
        <w:jc w:val="both"/>
        <w:rPr>
          <w:rFonts w:ascii="Times New Roman" w:hAnsi="Times New Roman" w:cs="Times New Roman"/>
          <w:sz w:val="36"/>
          <w:szCs w:val="36"/>
          <w:lang w:val="en-GB"/>
        </w:rPr>
      </w:pPr>
      <w:r w:rsidRPr="00BE26C8">
        <w:rPr>
          <w:rFonts w:ascii="Times New Roman" w:hAnsi="Times New Roman" w:cs="Times New Roman"/>
          <w:sz w:val="36"/>
          <w:szCs w:val="36"/>
          <w:lang w:val="en-GB"/>
        </w:rPr>
        <w:t xml:space="preserve">The </w:t>
      </w:r>
      <w:r w:rsidRPr="00BE26C8">
        <w:rPr>
          <w:rFonts w:ascii="Times New Roman" w:eastAsia="SimSun" w:hAnsi="Times New Roman" w:cs="Times New Roman"/>
          <w:sz w:val="36"/>
          <w:szCs w:val="36"/>
          <w:lang w:val="en-GB" w:eastAsia="zh-CN"/>
        </w:rPr>
        <w:t>SNARC effect, and not the MARC effect, was</w:t>
      </w:r>
      <w:r w:rsidRPr="00BE26C8">
        <w:rPr>
          <w:sz w:val="36"/>
          <w:szCs w:val="36"/>
          <w:lang w:val="en-GB"/>
        </w:rPr>
        <w:t xml:space="preserve"> robust both in </w:t>
      </w:r>
      <w:r w:rsidRPr="00BE26C8">
        <w:rPr>
          <w:rFonts w:ascii="Times New Roman" w:eastAsia="SimSun" w:hAnsi="Times New Roman" w:cs="Times New Roman"/>
          <w:sz w:val="36"/>
          <w:szCs w:val="36"/>
          <w:lang w:val="en-GB" w:eastAsia="zh-CN"/>
        </w:rPr>
        <w:t xml:space="preserve">girls and boys. </w:t>
      </w:r>
      <w:r w:rsidRPr="00BE26C8">
        <w:rPr>
          <w:rFonts w:ascii="Times New Roman" w:hAnsi="Times New Roman" w:cs="Times New Roman"/>
          <w:sz w:val="36"/>
          <w:szCs w:val="36"/>
          <w:lang w:val="en-GB"/>
        </w:rPr>
        <w:t>There were no gender differences in either the SNARC effect or the MARC effect (Table S3).</w:t>
      </w:r>
    </w:p>
    <w:p w:rsidR="009F3881" w:rsidRPr="00BE26C8" w:rsidRDefault="009F3881" w:rsidP="009F3881">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Table S3 Gender Differences in both the SNARC Effect and the MARC Effect</w:t>
      </w:r>
    </w:p>
    <w:tbl>
      <w:tblPr>
        <w:tblStyle w:val="TableGrid"/>
        <w:tblpPr w:leftFromText="180" w:rightFromText="180" w:vertAnchor="text" w:horzAnchor="margin" w:tblpXSpec="right" w:tblpY="69"/>
        <w:tblW w:w="14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2"/>
        <w:gridCol w:w="1055"/>
        <w:gridCol w:w="593"/>
        <w:gridCol w:w="1430"/>
        <w:gridCol w:w="1431"/>
        <w:gridCol w:w="1431"/>
        <w:gridCol w:w="1431"/>
        <w:gridCol w:w="1431"/>
        <w:gridCol w:w="1431"/>
        <w:gridCol w:w="1431"/>
        <w:gridCol w:w="1431"/>
      </w:tblGrid>
      <w:tr w:rsidR="009F3881" w:rsidRPr="00E778CE" w:rsidTr="00632EBD">
        <w:trPr>
          <w:trHeight w:val="310"/>
        </w:trPr>
        <w:tc>
          <w:tcPr>
            <w:tcW w:w="1182" w:type="dxa"/>
            <w:vMerge w:val="restart"/>
            <w:tcBorders>
              <w:top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Group</w:t>
            </w:r>
          </w:p>
        </w:tc>
        <w:tc>
          <w:tcPr>
            <w:tcW w:w="1055" w:type="dxa"/>
            <w:vMerge w:val="restart"/>
            <w:tcBorders>
              <w:top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Measure</w:t>
            </w:r>
          </w:p>
        </w:tc>
        <w:tc>
          <w:tcPr>
            <w:tcW w:w="593" w:type="dxa"/>
            <w:tcBorders>
              <w:top w:val="single" w:sz="12" w:space="0" w:color="auto"/>
            </w:tcBorders>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2861" w:type="dxa"/>
            <w:gridSpan w:val="2"/>
            <w:tcBorders>
              <w:top w:val="single" w:sz="12" w:space="0" w:color="auto"/>
            </w:tcBorders>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SNARC</w:t>
            </w:r>
          </w:p>
        </w:tc>
        <w:tc>
          <w:tcPr>
            <w:tcW w:w="2862" w:type="dxa"/>
            <w:gridSpan w:val="2"/>
            <w:tcBorders>
              <w:top w:val="single" w:sz="12" w:space="0" w:color="auto"/>
            </w:tcBorders>
            <w:noWrap/>
            <w:vAlign w:val="center"/>
            <w:hideMark/>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ST-SNARC</w:t>
            </w:r>
          </w:p>
        </w:tc>
        <w:tc>
          <w:tcPr>
            <w:tcW w:w="2862" w:type="dxa"/>
            <w:gridSpan w:val="2"/>
            <w:tcBorders>
              <w:top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MARC</w:t>
            </w:r>
          </w:p>
        </w:tc>
        <w:tc>
          <w:tcPr>
            <w:tcW w:w="2862" w:type="dxa"/>
            <w:gridSpan w:val="2"/>
            <w:tcBorders>
              <w:top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ST-MARC</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4" w:space="0" w:color="auto"/>
            </w:tcBorders>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30"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r>
      <w:tr w:rsidR="009F3881" w:rsidRPr="00E778CE" w:rsidTr="00632EBD">
        <w:trPr>
          <w:trHeight w:val="310"/>
        </w:trPr>
        <w:tc>
          <w:tcPr>
            <w:tcW w:w="1182"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Girls</w:t>
            </w:r>
          </w:p>
        </w:tc>
        <w:tc>
          <w:tcPr>
            <w:tcW w:w="1055" w:type="dxa"/>
            <w:tcBorders>
              <w:top w:val="single" w:sz="4" w:space="0" w:color="auto"/>
            </w:tcBorders>
            <w:vAlign w:val="center"/>
          </w:tcPr>
          <w:p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593" w:type="dxa"/>
            <w:tcBorders>
              <w:top w:val="single" w:sz="4" w:space="0" w:color="auto"/>
            </w:tcBorders>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30"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-9.63</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-7.94</w:t>
            </w:r>
          </w:p>
        </w:tc>
        <w:tc>
          <w:tcPr>
            <w:tcW w:w="143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-0.22</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-0.21</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-9.48</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3.87</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restart"/>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t-test against 0 (</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72)</w:t>
            </w: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-3.89</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-3.59</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-4.07</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-4.17</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-0.38</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0.18</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0.19</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 xml:space="preserve"> </w:t>
            </w:r>
            <w:r w:rsidRPr="00BE26C8">
              <w:rPr>
                <w:rFonts w:ascii="Times New Roman" w:eastAsia="Times New Roman" w:hAnsi="Times New Roman" w:cs="Times New Roman"/>
                <w:color w:val="000000"/>
                <w:sz w:val="36"/>
                <w:szCs w:val="36"/>
                <w:lang w:val="en-GB"/>
              </w:rPr>
              <w:t>&lt; .001</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.705</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.859</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.847</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.944</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0.46</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0.42</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0.48</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0.49</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r>
      <w:tr w:rsidR="009F3881" w:rsidRPr="00E778CE" w:rsidTr="00632EBD">
        <w:trPr>
          <w:trHeight w:val="310"/>
        </w:trPr>
        <w:tc>
          <w:tcPr>
            <w:tcW w:w="1182"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4" w:space="0" w:color="auto"/>
            </w:tcBorders>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30"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0.010</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0.025</w:t>
            </w:r>
          </w:p>
        </w:tc>
        <w:tc>
          <w:tcPr>
            <w:tcW w:w="143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0.006</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0.004</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7.246</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7.648</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7.634</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7.750</w:t>
            </w:r>
          </w:p>
        </w:tc>
      </w:tr>
      <w:tr w:rsidR="009F3881" w:rsidRPr="00E778CE" w:rsidTr="00632EBD">
        <w:trPr>
          <w:trHeight w:val="310"/>
        </w:trPr>
        <w:tc>
          <w:tcPr>
            <w:tcW w:w="1182"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Boys</w:t>
            </w:r>
          </w:p>
        </w:tc>
        <w:tc>
          <w:tcPr>
            <w:tcW w:w="1055" w:type="dxa"/>
            <w:tcBorders>
              <w:top w:val="single" w:sz="4" w:space="0" w:color="auto"/>
            </w:tcBorders>
            <w:vAlign w:val="center"/>
          </w:tcPr>
          <w:p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593" w:type="dxa"/>
            <w:tcBorders>
              <w:top w:val="single" w:sz="4" w:space="0" w:color="auto"/>
            </w:tcBorders>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30"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-6.28</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-6.77</w:t>
            </w:r>
          </w:p>
        </w:tc>
        <w:tc>
          <w:tcPr>
            <w:tcW w:w="143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-0.16</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-0.18</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-36.74</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-17.69</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-0.03</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restart"/>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t-test against 0 (</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91)</w:t>
            </w: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-2.67</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-3.33</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-3.68</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-4.46</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-1.44</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-0.89</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-0.56</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-0.52</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.009</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.154</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.374</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.576</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.602</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0.28</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0.35</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0.38</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0.47</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0.15</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0.09</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0.06</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0.05</w:t>
            </w:r>
          </w:p>
        </w:tc>
      </w:tr>
      <w:tr w:rsidR="009F3881" w:rsidRPr="00E778CE" w:rsidTr="00632EBD">
        <w:trPr>
          <w:trHeight w:val="310"/>
        </w:trPr>
        <w:tc>
          <w:tcPr>
            <w:tcW w:w="1182"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4" w:space="0" w:color="auto"/>
            </w:tcBorders>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30"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0.309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0.054</w:t>
            </w:r>
          </w:p>
        </w:tc>
        <w:tc>
          <w:tcPr>
            <w:tcW w:w="1431" w:type="dxa"/>
            <w:tcBorders>
              <w:bottom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0.019</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0.001</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3.205</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5.916</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7.453</w:t>
            </w:r>
          </w:p>
        </w:tc>
        <w:tc>
          <w:tcPr>
            <w:tcW w:w="1431" w:type="dxa"/>
            <w:tcBorders>
              <w:bottom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7.610</w:t>
            </w:r>
          </w:p>
        </w:tc>
      </w:tr>
      <w:tr w:rsidR="009F3881" w:rsidRPr="00E778CE" w:rsidTr="00632EBD">
        <w:trPr>
          <w:trHeight w:val="310"/>
        </w:trPr>
        <w:tc>
          <w:tcPr>
            <w:tcW w:w="1182"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Group comparison</w:t>
            </w:r>
          </w:p>
        </w:tc>
        <w:tc>
          <w:tcPr>
            <w:tcW w:w="1055" w:type="dxa"/>
            <w:vMerge w:val="restart"/>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w:t>
            </w:r>
          </w:p>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163)</w:t>
            </w:r>
          </w:p>
        </w:tc>
        <w:tc>
          <w:tcPr>
            <w:tcW w:w="593" w:type="dxa"/>
            <w:tcBorders>
              <w:top w:val="single" w:sz="4" w:space="0" w:color="auto"/>
            </w:tcBorders>
          </w:tcPr>
          <w:p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30"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0.97</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0.39</w:t>
            </w:r>
          </w:p>
        </w:tc>
        <w:tc>
          <w:tcPr>
            <w:tcW w:w="1431" w:type="dxa"/>
            <w:tcBorders>
              <w:top w:val="single" w:sz="4"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1.48</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0.85</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-0.75,</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-0.73,</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w:t>
            </w:r>
          </w:p>
        </w:tc>
        <w:tc>
          <w:tcPr>
            <w:tcW w:w="1431" w:type="dxa"/>
            <w:tcBorders>
              <w:top w:val="single" w:sz="4"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-0.37</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.331</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.697</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.142</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.394</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.454</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.466</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.617</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.711</w:t>
            </w:r>
          </w:p>
        </w:tc>
      </w:tr>
      <w:tr w:rsidR="009F3881" w:rsidRPr="00E778CE" w:rsidTr="00632EBD">
        <w:trPr>
          <w:trHeight w:val="310"/>
        </w:trPr>
        <w:tc>
          <w:tcPr>
            <w:tcW w:w="1182"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30"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-0.15</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-0.06</w:t>
            </w:r>
          </w:p>
        </w:tc>
        <w:tc>
          <w:tcPr>
            <w:tcW w:w="1431" w:type="dxa"/>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-0.23</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-0.13</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0.12</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0.11</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0.08</w:t>
            </w:r>
          </w:p>
        </w:tc>
        <w:tc>
          <w:tcPr>
            <w:tcW w:w="1431" w:type="dxa"/>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0.06</w:t>
            </w:r>
          </w:p>
        </w:tc>
      </w:tr>
      <w:tr w:rsidR="009F3881" w:rsidRPr="00E778CE" w:rsidTr="00632EBD">
        <w:trPr>
          <w:trHeight w:val="310"/>
        </w:trPr>
        <w:tc>
          <w:tcPr>
            <w:tcW w:w="1182" w:type="dxa"/>
            <w:vMerge/>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12" w:space="0" w:color="auto"/>
            </w:tcBorders>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30" w:type="dxa"/>
            <w:tcBorders>
              <w:bottom w:val="single" w:sz="12"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3.826</w:t>
            </w:r>
          </w:p>
        </w:tc>
        <w:tc>
          <w:tcPr>
            <w:tcW w:w="1431"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5.507</w:t>
            </w:r>
          </w:p>
        </w:tc>
        <w:tc>
          <w:tcPr>
            <w:tcW w:w="1431" w:type="dxa"/>
            <w:tcBorders>
              <w:bottom w:val="single" w:sz="12" w:space="0" w:color="auto"/>
            </w:tcBorders>
            <w:noWrap/>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2.154</w:t>
            </w:r>
          </w:p>
        </w:tc>
        <w:tc>
          <w:tcPr>
            <w:tcW w:w="1431"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4.232</w:t>
            </w:r>
          </w:p>
        </w:tc>
        <w:tc>
          <w:tcPr>
            <w:tcW w:w="1431"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4.556</w:t>
            </w:r>
          </w:p>
        </w:tc>
        <w:tc>
          <w:tcPr>
            <w:tcW w:w="1431"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4.619</w:t>
            </w:r>
          </w:p>
        </w:tc>
        <w:tc>
          <w:tcPr>
            <w:tcW w:w="1431"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5.264</w:t>
            </w:r>
          </w:p>
        </w:tc>
        <w:tc>
          <w:tcPr>
            <w:tcW w:w="1431" w:type="dxa"/>
            <w:tcBorders>
              <w:bottom w:val="single" w:sz="12" w:space="0" w:color="auto"/>
            </w:tcBorders>
            <w:vAlign w:val="center"/>
          </w:tcPr>
          <w:p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5.546</w:t>
            </w:r>
          </w:p>
        </w:tc>
      </w:tr>
    </w:tbl>
    <w:p w:rsidR="009F3881" w:rsidRPr="00BE26C8" w:rsidRDefault="009F3881" w:rsidP="009F3881">
      <w:pPr>
        <w:spacing w:line="360" w:lineRule="auto"/>
        <w:rPr>
          <w:rFonts w:ascii="Times New Roman" w:hAnsi="Times New Roman" w:cs="Times New Roman"/>
          <w:sz w:val="36"/>
          <w:szCs w:val="36"/>
          <w:lang w:val="en-GB"/>
        </w:rPr>
      </w:pPr>
    </w:p>
    <w:p w:rsidR="00303A60" w:rsidRDefault="00303A60">
      <w:bookmarkStart w:id="0" w:name="_GoBack"/>
      <w:bookmarkEnd w:id="0"/>
    </w:p>
    <w:sectPr w:rsidR="00303A60" w:rsidSect="00640666">
      <w:footnotePr>
        <w:numFmt w:val="chicago"/>
      </w:footnotePr>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40031210"/>
      <w:docPartObj>
        <w:docPartGallery w:val="Page Numbers (Bottom of Page)"/>
        <w:docPartUnique/>
      </w:docPartObj>
    </w:sdtPr>
    <w:sdtEndPr>
      <w:rPr>
        <w:rFonts w:ascii="Times New Roman" w:hAnsi="Times New Roman" w:cs="Times New Roman"/>
      </w:rPr>
    </w:sdtEndPr>
    <w:sdtContent>
      <w:p w:rsidR="00F459D9" w:rsidRPr="009C7D5C" w:rsidRDefault="009F3881" w:rsidP="009C7D5C">
        <w:pPr>
          <w:jc w:val="center"/>
          <w:rPr>
            <w:rFonts w:ascii="Arial" w:hAnsi="Arial" w:cs="Arial"/>
          </w:rPr>
        </w:pPr>
      </w:p>
      <w:p w:rsidR="00F459D9" w:rsidRPr="00DB777B" w:rsidRDefault="009F3881" w:rsidP="009C7D5C">
        <w:pPr>
          <w:pStyle w:val="Footer"/>
          <w:jc w:val="right"/>
          <w:rPr>
            <w:rFonts w:ascii="Times New Roman" w:hAnsi="Times New Roman" w:cs="Times New Roman"/>
            <w:lang w:val="en-US"/>
          </w:rPr>
        </w:pPr>
        <w:r w:rsidRPr="003C3A41">
          <w:rPr>
            <w:rFonts w:ascii="Times New Roman" w:hAnsi="Times New Roman" w:cs="Times New Roman"/>
          </w:rPr>
          <w:t xml:space="preserve"> </w:t>
        </w:r>
        <w:r w:rsidRPr="003C3A41">
          <w:rPr>
            <w:rFonts w:ascii="Times New Roman" w:hAnsi="Times New Roman" w:cs="Times New Roman"/>
          </w:rPr>
          <w:fldChar w:fldCharType="begin"/>
        </w:r>
        <w:r w:rsidRPr="00DB777B">
          <w:rPr>
            <w:rFonts w:ascii="Times New Roman" w:hAnsi="Times New Roman" w:cs="Times New Roman"/>
            <w:lang w:val="en-US"/>
          </w:rPr>
          <w:instrText>PAGE   \* MERGEFORMAT</w:instrText>
        </w:r>
        <w:r w:rsidRPr="003C3A41">
          <w:rPr>
            <w:rFonts w:ascii="Times New Roman" w:hAnsi="Times New Roman" w:cs="Times New Roman"/>
          </w:rPr>
          <w:fldChar w:fldCharType="separate"/>
        </w:r>
        <w:r>
          <w:rPr>
            <w:rFonts w:ascii="Times New Roman" w:hAnsi="Times New Roman" w:cs="Times New Roman"/>
            <w:noProof/>
            <w:lang w:val="en-US"/>
          </w:rPr>
          <w:t>9</w:t>
        </w:r>
        <w:r w:rsidRPr="003C3A41">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D9" w:rsidRPr="00A258BB" w:rsidRDefault="009F3881">
    <w:pPr>
      <w:pStyle w:val="Header"/>
      <w:rPr>
        <w:rFonts w:ascii="Times New Roman" w:hAnsi="Times New Roman" w:cs="Times New Roman"/>
        <w:lang w:val="en-US"/>
      </w:rPr>
    </w:pPr>
    <w:r w:rsidRPr="00A258BB">
      <w:rPr>
        <w:rFonts w:ascii="Times New Roman" w:hAnsi="Times New Roman" w:cs="Times New Roman"/>
        <w:lang w:val="en-US"/>
      </w:rPr>
      <w:t>A gifted SNARC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81"/>
    <w:rsid w:val="00013192"/>
    <w:rsid w:val="000B5091"/>
    <w:rsid w:val="00105D70"/>
    <w:rsid w:val="00165782"/>
    <w:rsid w:val="00181001"/>
    <w:rsid w:val="001D79E1"/>
    <w:rsid w:val="00202E07"/>
    <w:rsid w:val="00260F40"/>
    <w:rsid w:val="002702C5"/>
    <w:rsid w:val="00303A60"/>
    <w:rsid w:val="003362D2"/>
    <w:rsid w:val="00337149"/>
    <w:rsid w:val="003E066C"/>
    <w:rsid w:val="00445243"/>
    <w:rsid w:val="004622B7"/>
    <w:rsid w:val="004D48A6"/>
    <w:rsid w:val="00595F09"/>
    <w:rsid w:val="005D2759"/>
    <w:rsid w:val="00673343"/>
    <w:rsid w:val="00697B92"/>
    <w:rsid w:val="00736CDA"/>
    <w:rsid w:val="007434A4"/>
    <w:rsid w:val="007A3BB9"/>
    <w:rsid w:val="00982FE3"/>
    <w:rsid w:val="009837CD"/>
    <w:rsid w:val="009F3881"/>
    <w:rsid w:val="00A701E1"/>
    <w:rsid w:val="00A77AD3"/>
    <w:rsid w:val="00AA0B56"/>
    <w:rsid w:val="00AB0272"/>
    <w:rsid w:val="00B06984"/>
    <w:rsid w:val="00BB3EEC"/>
    <w:rsid w:val="00C67431"/>
    <w:rsid w:val="00D00C1C"/>
    <w:rsid w:val="00EB4B20"/>
    <w:rsid w:val="00ED1419"/>
    <w:rsid w:val="00F33688"/>
    <w:rsid w:val="00F342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82C1-1F28-4A56-BC92-92BD916B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81"/>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881"/>
    <w:pPr>
      <w:spacing w:after="0" w:line="240" w:lineRule="auto"/>
    </w:pPr>
    <w:rPr>
      <w:rFonts w:eastAsiaTheme="minorEastAsia"/>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F3881"/>
    <w:rPr>
      <w:sz w:val="20"/>
      <w:szCs w:val="20"/>
    </w:rPr>
  </w:style>
  <w:style w:type="character" w:customStyle="1" w:styleId="CommentTextChar">
    <w:name w:val="Comment Text Char"/>
    <w:basedOn w:val="DefaultParagraphFont"/>
    <w:link w:val="CommentText"/>
    <w:uiPriority w:val="99"/>
    <w:rsid w:val="009F3881"/>
    <w:rPr>
      <w:rFonts w:eastAsiaTheme="minorEastAsia"/>
      <w:sz w:val="20"/>
      <w:szCs w:val="20"/>
      <w:lang w:val="de-DE" w:eastAsia="de-DE"/>
    </w:rPr>
  </w:style>
  <w:style w:type="paragraph" w:styleId="Header">
    <w:name w:val="header"/>
    <w:basedOn w:val="Normal"/>
    <w:link w:val="HeaderChar"/>
    <w:uiPriority w:val="99"/>
    <w:unhideWhenUsed/>
    <w:rsid w:val="009F3881"/>
    <w:pPr>
      <w:tabs>
        <w:tab w:val="center" w:pos="4320"/>
        <w:tab w:val="right" w:pos="8640"/>
      </w:tabs>
    </w:pPr>
  </w:style>
  <w:style w:type="character" w:customStyle="1" w:styleId="HeaderChar">
    <w:name w:val="Header Char"/>
    <w:basedOn w:val="DefaultParagraphFont"/>
    <w:link w:val="Header"/>
    <w:uiPriority w:val="99"/>
    <w:rsid w:val="009F3881"/>
    <w:rPr>
      <w:rFonts w:eastAsiaTheme="minorEastAsia"/>
      <w:sz w:val="24"/>
      <w:szCs w:val="24"/>
      <w:lang w:val="de-DE" w:eastAsia="de-DE"/>
    </w:rPr>
  </w:style>
  <w:style w:type="paragraph" w:styleId="Footer">
    <w:name w:val="footer"/>
    <w:basedOn w:val="Normal"/>
    <w:link w:val="FooterChar"/>
    <w:uiPriority w:val="99"/>
    <w:unhideWhenUsed/>
    <w:rsid w:val="009F3881"/>
    <w:pPr>
      <w:tabs>
        <w:tab w:val="center" w:pos="4320"/>
        <w:tab w:val="right" w:pos="8640"/>
      </w:tabs>
    </w:pPr>
  </w:style>
  <w:style w:type="character" w:customStyle="1" w:styleId="FooterChar">
    <w:name w:val="Footer Char"/>
    <w:basedOn w:val="DefaultParagraphFont"/>
    <w:link w:val="Footer"/>
    <w:uiPriority w:val="99"/>
    <w:rsid w:val="009F3881"/>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R</dc:creator>
  <cp:keywords/>
  <dc:description/>
  <cp:lastModifiedBy>Raja R</cp:lastModifiedBy>
  <cp:revision>1</cp:revision>
  <dcterms:created xsi:type="dcterms:W3CDTF">2020-05-11T12:07:00Z</dcterms:created>
  <dcterms:modified xsi:type="dcterms:W3CDTF">2020-05-11T12:07:00Z</dcterms:modified>
</cp:coreProperties>
</file>