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1B" w:rsidRDefault="00304A1B" w:rsidP="00304A1B">
      <w:pPr>
        <w:rPr>
          <w:rFonts w:ascii="Arial" w:hAnsi="Arial" w:cs="Arial"/>
          <w:b/>
          <w:bCs/>
          <w:color w:val="000000" w:themeColor="text1"/>
          <w:spacing w:val="20"/>
        </w:rPr>
      </w:pPr>
      <w:proofErr w:type="gramStart"/>
      <w:r>
        <w:rPr>
          <w:rFonts w:ascii="Arial" w:hAnsi="Arial" w:cs="Arial"/>
          <w:b/>
          <w:bCs/>
          <w:color w:val="000000" w:themeColor="text1"/>
          <w:spacing w:val="20"/>
        </w:rPr>
        <w:t>Supplemental Table</w:t>
      </w:r>
      <w:r w:rsidRPr="004F15C2">
        <w:rPr>
          <w:rFonts w:ascii="Arial" w:hAnsi="Arial" w:cs="Arial"/>
          <w:b/>
          <w:bCs/>
          <w:color w:val="000000" w:themeColor="text1"/>
          <w:spacing w:val="20"/>
        </w:rPr>
        <w:t>.</w:t>
      </w:r>
      <w:proofErr w:type="gramEnd"/>
      <w:r w:rsidRPr="004F15C2">
        <w:rPr>
          <w:rFonts w:ascii="Arial" w:hAnsi="Arial" w:cs="Arial"/>
          <w:b/>
          <w:bCs/>
          <w:color w:val="000000" w:themeColor="text1"/>
          <w:spacing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pacing w:val="20"/>
        </w:rPr>
        <w:t xml:space="preserve">Neurology knowledge emphasized in the clinical quiz: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Recognize spasticity and know common CNS causes.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Recognize fasciculations</w:t>
            </w: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 from 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motor neuron disease.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Recognize and localize Broca’s aphasia.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Recognize and lateralize peripheral nystagmus.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Recognize subarachnoid hemorrhage on a CT scan, and know the next diagnostic </w:t>
            </w: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and management 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steps.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Recognize epidural hematoma and herniati</w:t>
            </w: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on on a CT scan, and identify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>ipsilateral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 weakness as a 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false localizing sign from Kernohan’s notch. </w:t>
            </w:r>
          </w:p>
        </w:tc>
      </w:tr>
      <w:tr w:rsidR="00304A1B" w:rsidTr="00B42A4B">
        <w:tc>
          <w:tcPr>
            <w:tcW w:w="8136" w:type="dxa"/>
          </w:tcPr>
          <w:p w:rsidR="00304A1B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Recognize an absence seizure. </w:t>
            </w:r>
          </w:p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Distinguish primary from secondarily generalized seizures including brain imaging, age of onset and EEG findings.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Distinguish delirium from dementia.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Distinguish locked-in syndrome from coma and vegetative state.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>Recognize proximal weakness from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 myopathy.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Diagnose Huntington’s disease based on clinical video of chorea and family history.</w:t>
            </w:r>
          </w:p>
        </w:tc>
      </w:tr>
      <w:tr w:rsidR="00304A1B" w:rsidTr="00B42A4B">
        <w:tc>
          <w:tcPr>
            <w:tcW w:w="8136" w:type="dxa"/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</w:t>
            </w: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>ze and localize an ulnar claw hand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.</w:t>
            </w:r>
          </w:p>
        </w:tc>
      </w:tr>
      <w:tr w:rsidR="00304A1B" w:rsidTr="00B42A4B">
        <w:tc>
          <w:tcPr>
            <w:tcW w:w="8136" w:type="dxa"/>
            <w:tcBorders>
              <w:bottom w:val="nil"/>
            </w:tcBorders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>Diagnose S1 root lesion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 based on distribution of </w:t>
            </w: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sciatica 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pain and absent ankle jerk.</w:t>
            </w:r>
          </w:p>
        </w:tc>
      </w:tr>
      <w:tr w:rsidR="00304A1B" w:rsidTr="00B42A4B">
        <w:tc>
          <w:tcPr>
            <w:tcW w:w="8136" w:type="dxa"/>
            <w:tcBorders>
              <w:top w:val="nil"/>
              <w:bottom w:val="nil"/>
            </w:tcBorders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Recognize early Parkinson’s disease.</w:t>
            </w:r>
          </w:p>
        </w:tc>
      </w:tr>
      <w:tr w:rsidR="00304A1B" w:rsidTr="00B42A4B">
        <w:tc>
          <w:tcPr>
            <w:tcW w:w="8136" w:type="dxa"/>
            <w:tcBorders>
              <w:top w:val="nil"/>
            </w:tcBorders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Identify supranuclear gaze palsy and diagnose PSP.</w:t>
            </w:r>
          </w:p>
        </w:tc>
      </w:tr>
      <w:tr w:rsidR="00304A1B" w:rsidTr="00B42A4B">
        <w:tc>
          <w:tcPr>
            <w:tcW w:w="8136" w:type="dxa"/>
            <w:tcBorders>
              <w:top w:val="nil"/>
            </w:tcBorders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Identify an ataxic gait.</w:t>
            </w:r>
          </w:p>
        </w:tc>
      </w:tr>
      <w:tr w:rsidR="00304A1B" w:rsidTr="00B42A4B">
        <w:tc>
          <w:tcPr>
            <w:tcW w:w="8136" w:type="dxa"/>
            <w:tcBorders>
              <w:top w:val="nil"/>
            </w:tcBorders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Recognize Horner’s syndrome and </w:t>
            </w:r>
            <w:r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with the clinical history provided </w:t>
            </w: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lastRenderedPageBreak/>
              <w:t>diagnose carotid dissection.</w:t>
            </w:r>
          </w:p>
        </w:tc>
      </w:tr>
      <w:tr w:rsidR="00304A1B" w:rsidTr="00B42A4B">
        <w:tc>
          <w:tcPr>
            <w:tcW w:w="8136" w:type="dxa"/>
            <w:tcBorders>
              <w:top w:val="nil"/>
            </w:tcBorders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lastRenderedPageBreak/>
              <w:t>Recognize conversion disorder.</w:t>
            </w:r>
          </w:p>
        </w:tc>
      </w:tr>
      <w:tr w:rsidR="00304A1B" w:rsidTr="00B42A4B">
        <w:tc>
          <w:tcPr>
            <w:tcW w:w="8136" w:type="dxa"/>
            <w:tcBorders>
              <w:top w:val="nil"/>
              <w:bottom w:val="single" w:sz="4" w:space="0" w:color="auto"/>
            </w:tcBorders>
          </w:tcPr>
          <w:p w:rsidR="00304A1B" w:rsidRPr="001E3AF8" w:rsidRDefault="00304A1B" w:rsidP="00B42A4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1E3AF8">
              <w:rPr>
                <w:rFonts w:ascii="Arial" w:hAnsi="Arial" w:cs="Arial"/>
                <w:bCs/>
                <w:color w:val="000000" w:themeColor="text1"/>
                <w:spacing w:val="20"/>
              </w:rPr>
              <w:t>Recognize familial essential tremor.</w:t>
            </w:r>
          </w:p>
        </w:tc>
      </w:tr>
    </w:tbl>
    <w:p w:rsidR="00C964B6" w:rsidRDefault="00C964B6">
      <w:bookmarkStart w:id="0" w:name="_GoBack"/>
      <w:bookmarkEnd w:id="0"/>
    </w:p>
    <w:sectPr w:rsidR="00C9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1B"/>
    <w:rsid w:val="00304A1B"/>
    <w:rsid w:val="00C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Dr.Holland</dc:creator>
  <cp:lastModifiedBy>Dr.Holland</cp:lastModifiedBy>
  <cp:revision>1</cp:revision>
  <dcterms:created xsi:type="dcterms:W3CDTF">2013-10-05T16:43:00Z</dcterms:created>
  <dcterms:modified xsi:type="dcterms:W3CDTF">2013-10-05T16:44:00Z</dcterms:modified>
</cp:coreProperties>
</file>