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1AF" w:rsidRPr="005B3865" w:rsidRDefault="00AE11AF" w:rsidP="00AE11AF">
      <w:pPr>
        <w:spacing w:before="240" w:after="240"/>
        <w:ind w:left="720" w:hanging="720"/>
        <w:rPr>
          <w:b/>
          <w:bCs/>
          <w:color w:val="222222"/>
          <w:highlight w:val="white"/>
        </w:rPr>
      </w:pPr>
      <w:r w:rsidRPr="005B3865">
        <w:rPr>
          <w:b/>
          <w:bCs/>
          <w:color w:val="222222"/>
          <w:highlight w:val="white"/>
        </w:rPr>
        <w:t>Supplementary Materials</w:t>
      </w:r>
    </w:p>
    <w:p w:rsidR="00AE11AF" w:rsidRPr="005B3865" w:rsidRDefault="00AE11AF" w:rsidP="00AE11AF">
      <w:pPr>
        <w:spacing w:line="360" w:lineRule="auto"/>
        <w:ind w:firstLine="720"/>
      </w:pPr>
      <w:r w:rsidRPr="005B3865">
        <w:t xml:space="preserve">The quality assessment revealed observable trends across the included studies. The majority of the studies failed to adequately report or control for potential bias within group allocation. Blinding efforts were largely insufficient for both participants and outcome assessors. The PEDro Scale additionally revealed that the majority of studies were unable to obtain data from more than 85% of their recruited cohort. However, it is worth noting that this is not uncommon in EEG studies of error processing, which require a certain number of errors for valid analysis and epochs of EEG data to be uncontaminated by artifacts, often resulting in the exclusion of a higher number of participants than in other studies. Additionally, the strengths of the studies were that the majority implemented and reported evidence-based selection criteria well. Whilst all 15 studies recorded a high risk of bias in the CCRBT (Fig. 12), it is worth noting that the set of domains in the tool is smaller, when compared with the PEDro Scale (Fig. 13) and the SQAC (Fig. 14). The PEDro Scale and SQAC included more criteria related to recruitment, study design and the reporting of results, which the studies scored strongly in overall. </w:t>
      </w:r>
    </w:p>
    <w:p w:rsidR="00AE11AF" w:rsidRPr="005B3865" w:rsidRDefault="00AE11AF" w:rsidP="00AE11AF">
      <w:pPr>
        <w:spacing w:line="360" w:lineRule="auto"/>
        <w:ind w:firstLine="720"/>
      </w:pPr>
      <w:r w:rsidRPr="005B3865">
        <w:t>According to the summary of PEDro measurement properties (Physiotherapy Evidence Database, 2021), five of the studies were classified as “good” (score 6 - 8), eight were “fair” (score 4 - 5) and two were “poor” (</w:t>
      </w:r>
      <w:r w:rsidRPr="005B3865">
        <w:rPr>
          <w:rFonts w:ascii="Arial Unicode MS" w:eastAsia="Arial Unicode MS" w:hAnsi="Arial Unicode MS" w:cs="Arial Unicode MS"/>
          <w:highlight w:val="white"/>
        </w:rPr>
        <w:t>≤</w:t>
      </w:r>
      <w:r w:rsidRPr="005B3865">
        <w:t xml:space="preserve"> 3). As the SQAC guidelines did not provide classifications of overall scores and studies were not excluded from data analysis based upon their score, the results were simply observed. Whilst the overall scores provided a clear indication of efforts to control for bias, they are limited by allowing cross-sectional designs to present higher scores. This is due to the exclusion of “N/A” judgements from the overall calculation. The excluded criteria (randomisation and blinding procedures) would strongly influence the quality of a study. As such, randomised controlled trials (RCTs) scored lower on average, even with the exclusion of Cragun et al. (2020) as a presumed outlier (RCTs: </w:t>
      </w:r>
      <w:r w:rsidRPr="005B3865">
        <w:rPr>
          <w:i/>
        </w:rPr>
        <w:t xml:space="preserve">M </w:t>
      </w:r>
      <w:r w:rsidRPr="005B3865">
        <w:t xml:space="preserve">= 0.83, cross-sectional: </w:t>
      </w:r>
      <w:r w:rsidRPr="005B3865">
        <w:rPr>
          <w:i/>
        </w:rPr>
        <w:t>M</w:t>
      </w:r>
      <w:r w:rsidRPr="005B3865">
        <w:t xml:space="preserve"> = 0.91). The opposite result was observed from the PEDro scale, with RCTs scoring higher on quality (RCTs: </w:t>
      </w:r>
      <w:r w:rsidRPr="005B3865">
        <w:rPr>
          <w:i/>
        </w:rPr>
        <w:t xml:space="preserve">M </w:t>
      </w:r>
      <w:r w:rsidRPr="005B3865">
        <w:t xml:space="preserve">= 5.75, cross-sectional: </w:t>
      </w:r>
      <w:r w:rsidRPr="005B3865">
        <w:rPr>
          <w:i/>
        </w:rPr>
        <w:t>M</w:t>
      </w:r>
      <w:r w:rsidRPr="005B3865">
        <w:t xml:space="preserve"> = 4). Note that Cragun et al. (2020) provided unpublished data for inclusion in the meta-analysis, so while we have included their study in our quality assessment for the sake of completeness, their total score was low, but influenced by missing information rather than necessarily being a poorly controlled study. </w:t>
      </w:r>
    </w:p>
    <w:p w:rsidR="00AE11AF" w:rsidRDefault="00AE11AF" w:rsidP="00AE11AF">
      <w:pPr>
        <w:spacing w:line="360" w:lineRule="auto"/>
        <w:ind w:firstLine="720"/>
      </w:pPr>
      <w:r w:rsidRPr="005B3865">
        <w:t xml:space="preserve">Whilst the quality assessment tools generally produced similar outcomes for individual sources of bias, the overall conclusions were still able to differ based on overall assessment calculations. This </w:t>
      </w:r>
      <w:r w:rsidRPr="005B3865">
        <w:lastRenderedPageBreak/>
        <w:t xml:space="preserve">highlights the importance of utilising various tools to strengthen the validity of the quality assessment process. </w:t>
      </w:r>
    </w:p>
    <w:p w:rsidR="00AE11AF" w:rsidRDefault="00AE11AF" w:rsidP="00AE11AF">
      <w:pPr>
        <w:spacing w:line="360" w:lineRule="auto"/>
        <w:ind w:firstLine="720"/>
      </w:pPr>
    </w:p>
    <w:p w:rsidR="00AE11AF" w:rsidRDefault="00AE11AF" w:rsidP="00AE11AF">
      <w:pPr>
        <w:spacing w:line="360" w:lineRule="auto"/>
        <w:ind w:firstLine="720"/>
      </w:pPr>
    </w:p>
    <w:p w:rsidR="00AE11AF" w:rsidRDefault="00AE11AF" w:rsidP="00AE11AF">
      <w:pPr>
        <w:spacing w:line="360" w:lineRule="auto"/>
        <w:ind w:firstLine="720"/>
      </w:pPr>
    </w:p>
    <w:p w:rsidR="00AE11AF" w:rsidRDefault="00AE11AF" w:rsidP="00AE11AF">
      <w:pPr>
        <w:spacing w:line="360" w:lineRule="auto"/>
        <w:ind w:firstLine="720"/>
      </w:pPr>
    </w:p>
    <w:p w:rsidR="00AE11AF" w:rsidRDefault="00AE11AF" w:rsidP="00AE11AF">
      <w:pPr>
        <w:spacing w:line="360" w:lineRule="auto"/>
        <w:ind w:firstLine="720"/>
      </w:pPr>
    </w:p>
    <w:p w:rsidR="00AE11AF" w:rsidRPr="005B3865" w:rsidRDefault="00AE11AF" w:rsidP="00AE11AF">
      <w:pPr>
        <w:spacing w:line="360" w:lineRule="auto"/>
        <w:ind w:firstLine="720"/>
      </w:pPr>
    </w:p>
    <w:p w:rsidR="00AE11AF" w:rsidRPr="005B3865" w:rsidRDefault="00AE11AF" w:rsidP="00AE11AF"/>
    <w:p w:rsidR="00AE11AF" w:rsidRPr="005B3865" w:rsidRDefault="00AE11AF" w:rsidP="00AE11AF">
      <w:pPr>
        <w:pStyle w:val="Revision"/>
        <w:spacing w:line="480" w:lineRule="auto"/>
        <w:rPr>
          <w:sz w:val="24"/>
          <w:szCs w:val="24"/>
        </w:rPr>
      </w:pPr>
      <w:r w:rsidRPr="005B3865">
        <w:rPr>
          <w:noProof/>
          <w:sz w:val="24"/>
          <w:szCs w:val="24"/>
          <w:lang w:val="en-US" w:eastAsia="en-US"/>
        </w:rPr>
        <w:drawing>
          <wp:inline distT="0" distB="0" distL="0" distR="0" wp14:anchorId="295DC10F" wp14:editId="0CC4292E">
            <wp:extent cx="5943600" cy="5389880"/>
            <wp:effectExtent l="0" t="0" r="0" b="12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389880"/>
                    </a:xfrm>
                    <a:prstGeom prst="rect">
                      <a:avLst/>
                    </a:prstGeom>
                  </pic:spPr>
                </pic:pic>
              </a:graphicData>
            </a:graphic>
          </wp:inline>
        </w:drawing>
      </w:r>
    </w:p>
    <w:p w:rsidR="00AE11AF" w:rsidRPr="005B3865" w:rsidRDefault="00AE11AF" w:rsidP="00AE11AF">
      <w:pPr>
        <w:pStyle w:val="BalloonText"/>
        <w:spacing w:line="480" w:lineRule="auto"/>
        <w:rPr>
          <w:rFonts w:ascii="Arial" w:hAnsi="Arial" w:cs="Arial"/>
          <w:sz w:val="24"/>
          <w:szCs w:val="24"/>
        </w:rPr>
      </w:pPr>
      <w:r w:rsidRPr="00C22D4E">
        <w:rPr>
          <w:rFonts w:ascii="Arial" w:hAnsi="Arial" w:cs="Arial"/>
          <w:b/>
          <w:bCs/>
          <w:sz w:val="24"/>
          <w:szCs w:val="24"/>
        </w:rPr>
        <w:t>Fig. 12</w:t>
      </w:r>
      <w:r w:rsidRPr="005B3865">
        <w:rPr>
          <w:rFonts w:ascii="Arial" w:hAnsi="Arial" w:cs="Arial"/>
          <w:sz w:val="24"/>
          <w:szCs w:val="24"/>
        </w:rPr>
        <w:t xml:space="preserve"> </w:t>
      </w:r>
      <w:proofErr w:type="gramStart"/>
      <w:r w:rsidRPr="005B3865">
        <w:rPr>
          <w:rFonts w:ascii="Arial" w:hAnsi="Arial" w:cs="Arial"/>
          <w:sz w:val="24"/>
          <w:szCs w:val="24"/>
        </w:rPr>
        <w:t>The</w:t>
      </w:r>
      <w:proofErr w:type="gramEnd"/>
      <w:r w:rsidRPr="005B3865">
        <w:rPr>
          <w:rFonts w:ascii="Arial" w:hAnsi="Arial" w:cs="Arial"/>
          <w:sz w:val="24"/>
          <w:szCs w:val="24"/>
        </w:rPr>
        <w:t xml:space="preserve"> results of the study quality assessment using the Cochrane Collaboration’s Tool for Assessing Risk of Bias (CCRBT; Higgins et al., 2011)</w:t>
      </w:r>
    </w:p>
    <w:p w:rsidR="00AE11AF" w:rsidRPr="005B3865" w:rsidRDefault="00AE11AF" w:rsidP="00AE11AF"/>
    <w:p w:rsidR="00AE11AF" w:rsidRPr="005B3865" w:rsidRDefault="00AE11AF" w:rsidP="00AE11AF">
      <w:r w:rsidRPr="005B3865">
        <w:t>Note:</w:t>
      </w:r>
    </w:p>
    <w:p w:rsidR="00AE11AF" w:rsidRPr="005B3865" w:rsidRDefault="00AE11AF" w:rsidP="00AE11AF">
      <w:r w:rsidRPr="005B3865">
        <w:t>D1: Sequence generation.</w:t>
      </w:r>
    </w:p>
    <w:p w:rsidR="00AE11AF" w:rsidRPr="005B3865" w:rsidRDefault="00AE11AF" w:rsidP="00AE11AF">
      <w:r w:rsidRPr="005B3865">
        <w:t>D2: Allocation concealment.</w:t>
      </w:r>
    </w:p>
    <w:p w:rsidR="00AE11AF" w:rsidRPr="005B3865" w:rsidRDefault="00AE11AF" w:rsidP="00AE11AF">
      <w:r w:rsidRPr="005B3865">
        <w:t>D3: Blinding of participants and personnel.</w:t>
      </w:r>
    </w:p>
    <w:p w:rsidR="00AE11AF" w:rsidRPr="005B3865" w:rsidRDefault="00AE11AF" w:rsidP="00AE11AF">
      <w:r w:rsidRPr="005B3865">
        <w:t>D4: Blinding of outcome assessment.</w:t>
      </w:r>
    </w:p>
    <w:p w:rsidR="00AE11AF" w:rsidRPr="005B3865" w:rsidRDefault="00AE11AF" w:rsidP="00AE11AF">
      <w:r w:rsidRPr="005B3865">
        <w:t>D5: Incomplete outcome data.</w:t>
      </w:r>
    </w:p>
    <w:p w:rsidR="00AE11AF" w:rsidRPr="005B3865" w:rsidRDefault="00AE11AF" w:rsidP="00AE11AF">
      <w:r w:rsidRPr="005B3865">
        <w:t>D6: Selective reporting.</w:t>
      </w:r>
    </w:p>
    <w:p w:rsidR="00AE11AF" w:rsidRPr="005B3865" w:rsidRDefault="00AE11AF" w:rsidP="00AE11AF">
      <w:r w:rsidRPr="005B3865">
        <w:t xml:space="preserve">D7: Other sources of bias. </w:t>
      </w:r>
    </w:p>
    <w:p w:rsidR="00AE11AF" w:rsidRPr="005B3865" w:rsidRDefault="00AE11AF" w:rsidP="00AE11AF">
      <w:pPr>
        <w:spacing w:line="480" w:lineRule="auto"/>
      </w:pPr>
      <w:r w:rsidRPr="005B3865">
        <w:rPr>
          <w:noProof/>
        </w:rPr>
        <w:drawing>
          <wp:inline distT="0" distB="0" distL="0" distR="0" wp14:anchorId="5C6C7D2F" wp14:editId="490B6C1C">
            <wp:extent cx="5943600" cy="3955415"/>
            <wp:effectExtent l="0" t="0" r="0" b="698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55415"/>
                    </a:xfrm>
                    <a:prstGeom prst="rect">
                      <a:avLst/>
                    </a:prstGeom>
                  </pic:spPr>
                </pic:pic>
              </a:graphicData>
            </a:graphic>
          </wp:inline>
        </w:drawing>
      </w:r>
    </w:p>
    <w:p w:rsidR="00AE11AF" w:rsidRPr="005B3865" w:rsidRDefault="00AE11AF" w:rsidP="00AE11AF">
      <w:pPr>
        <w:pStyle w:val="Heading8"/>
        <w:spacing w:line="480" w:lineRule="auto"/>
        <w:rPr>
          <w:b w:val="0"/>
          <w:bCs w:val="0"/>
          <w:sz w:val="24"/>
          <w:szCs w:val="24"/>
        </w:rPr>
      </w:pPr>
      <w:r w:rsidRPr="00C22D4E">
        <w:rPr>
          <w:sz w:val="24"/>
          <w:szCs w:val="24"/>
        </w:rPr>
        <w:t>Fig</w:t>
      </w:r>
      <w:r>
        <w:rPr>
          <w:sz w:val="24"/>
          <w:szCs w:val="24"/>
        </w:rPr>
        <w:t>.</w:t>
      </w:r>
      <w:r w:rsidRPr="00C22D4E">
        <w:rPr>
          <w:sz w:val="24"/>
          <w:szCs w:val="24"/>
        </w:rPr>
        <w:t xml:space="preserve"> 13</w:t>
      </w:r>
      <w:r w:rsidRPr="005B3865">
        <w:rPr>
          <w:b w:val="0"/>
          <w:bCs w:val="0"/>
          <w:sz w:val="24"/>
          <w:szCs w:val="24"/>
        </w:rPr>
        <w:t xml:space="preserve"> </w:t>
      </w:r>
      <w:proofErr w:type="gramStart"/>
      <w:r w:rsidRPr="005B3865">
        <w:rPr>
          <w:b w:val="0"/>
          <w:bCs w:val="0"/>
          <w:sz w:val="24"/>
          <w:szCs w:val="24"/>
        </w:rPr>
        <w:t>The</w:t>
      </w:r>
      <w:proofErr w:type="gramEnd"/>
      <w:r w:rsidRPr="005B3865">
        <w:rPr>
          <w:b w:val="0"/>
          <w:bCs w:val="0"/>
          <w:sz w:val="24"/>
          <w:szCs w:val="24"/>
        </w:rPr>
        <w:t xml:space="preserve"> results of the study quality assessment using the PEDro Scale (1999)</w:t>
      </w:r>
    </w:p>
    <w:p w:rsidR="00AE11AF" w:rsidRPr="005B3865" w:rsidRDefault="00AE11AF" w:rsidP="00AE11AF"/>
    <w:p w:rsidR="00AE11AF" w:rsidRPr="005B3865" w:rsidRDefault="00AE11AF" w:rsidP="00AE11AF">
      <w:r w:rsidRPr="005B3865">
        <w:t>Note:</w:t>
      </w:r>
    </w:p>
    <w:p w:rsidR="00AE11AF" w:rsidRPr="005B3865" w:rsidRDefault="00AE11AF" w:rsidP="00AE11AF">
      <w:r w:rsidRPr="005B3865">
        <w:t>D1: Eligibility Criteria were specified.</w:t>
      </w:r>
    </w:p>
    <w:p w:rsidR="00AE11AF" w:rsidRPr="005B3865" w:rsidRDefault="00AE11AF" w:rsidP="00AE11AF">
      <w:r w:rsidRPr="005B3865">
        <w:t>D2: Subjects were randomly allocated to groups.</w:t>
      </w:r>
    </w:p>
    <w:p w:rsidR="00AE11AF" w:rsidRPr="005B3865" w:rsidRDefault="00AE11AF" w:rsidP="00AE11AF">
      <w:r w:rsidRPr="005B3865">
        <w:t>D3: Allocation was concealed.</w:t>
      </w:r>
    </w:p>
    <w:p w:rsidR="00AE11AF" w:rsidRPr="005B3865" w:rsidRDefault="00AE11AF" w:rsidP="00AE11AF">
      <w:r w:rsidRPr="005B3865">
        <w:t>D4: Groups were similar at baseline regarding the most important indicators.</w:t>
      </w:r>
    </w:p>
    <w:p w:rsidR="00AE11AF" w:rsidRPr="005B3865" w:rsidRDefault="00AE11AF" w:rsidP="00AE11AF">
      <w:r w:rsidRPr="005B3865">
        <w:t>D5: There was blinding of all subjects.</w:t>
      </w:r>
    </w:p>
    <w:p w:rsidR="00AE11AF" w:rsidRPr="005B3865" w:rsidRDefault="00AE11AF" w:rsidP="00AE11AF">
      <w:r w:rsidRPr="005B3865">
        <w:t>D6: There was blinding of all therapists who administered the therapy.</w:t>
      </w:r>
    </w:p>
    <w:p w:rsidR="00AE11AF" w:rsidRPr="005B3865" w:rsidRDefault="00AE11AF" w:rsidP="00AE11AF">
      <w:r w:rsidRPr="005B3865">
        <w:t>D7: There was blinding of all assessors who measured at least one key outcome.</w:t>
      </w:r>
    </w:p>
    <w:p w:rsidR="00AE11AF" w:rsidRPr="005B3865" w:rsidRDefault="00AE11AF" w:rsidP="00AE11AF">
      <w:r w:rsidRPr="005B3865">
        <w:t>D8: Measures of at least one key outcome were obtained from more than 85% of the subjects initially allocated to groups.</w:t>
      </w:r>
    </w:p>
    <w:p w:rsidR="00AE11AF" w:rsidRPr="005B3865" w:rsidRDefault="00AE11AF" w:rsidP="00AE11AF">
      <w:r w:rsidRPr="005B3865">
        <w:t>D9: All subjects for whom outcome measures were available received the treatment or control condition as allocated or, where this was not the case, data for at least one key outcome was analysed by “intention to treat”.</w:t>
      </w:r>
    </w:p>
    <w:p w:rsidR="00AE11AF" w:rsidRPr="005B3865" w:rsidRDefault="00AE11AF" w:rsidP="00AE11AF">
      <w:r w:rsidRPr="005B3865">
        <w:t xml:space="preserve">D10: The results of between-group statistical comparisons are reported for at least one key outcome. </w:t>
      </w:r>
    </w:p>
    <w:p w:rsidR="00AE11AF" w:rsidRPr="005B3865" w:rsidRDefault="00AE11AF" w:rsidP="00AE11AF">
      <w:r w:rsidRPr="005B3865">
        <w:t xml:space="preserve">D11: The study provides both point measures and measures of variability for at least one key outcome. </w:t>
      </w:r>
    </w:p>
    <w:p w:rsidR="00AE11AF" w:rsidRPr="005B3865" w:rsidRDefault="00AE11AF" w:rsidP="00AE11AF"/>
    <w:p w:rsidR="00AE11AF" w:rsidRPr="005B3865" w:rsidRDefault="00AE11AF" w:rsidP="00AE11AF">
      <w:pPr>
        <w:pStyle w:val="Revision"/>
        <w:spacing w:line="276" w:lineRule="auto"/>
        <w:rPr>
          <w:sz w:val="24"/>
          <w:szCs w:val="24"/>
        </w:rPr>
      </w:pPr>
    </w:p>
    <w:p w:rsidR="00AE11AF" w:rsidRPr="005B3865" w:rsidRDefault="00AE11AF" w:rsidP="00AE11AF">
      <w:pPr>
        <w:spacing w:line="480" w:lineRule="auto"/>
      </w:pPr>
      <w:r w:rsidRPr="005B3865">
        <w:rPr>
          <w:noProof/>
        </w:rPr>
        <w:drawing>
          <wp:inline distT="0" distB="0" distL="0" distR="0" wp14:anchorId="563F478F" wp14:editId="54A92D89">
            <wp:extent cx="5943600" cy="2963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63545"/>
                    </a:xfrm>
                    <a:prstGeom prst="rect">
                      <a:avLst/>
                    </a:prstGeom>
                  </pic:spPr>
                </pic:pic>
              </a:graphicData>
            </a:graphic>
          </wp:inline>
        </w:drawing>
      </w:r>
    </w:p>
    <w:p w:rsidR="00AE11AF" w:rsidRPr="005B3865" w:rsidRDefault="00AE11AF" w:rsidP="00AE11AF">
      <w:pPr>
        <w:pStyle w:val="Heading8"/>
        <w:spacing w:line="480" w:lineRule="auto"/>
        <w:rPr>
          <w:b w:val="0"/>
          <w:bCs w:val="0"/>
          <w:sz w:val="24"/>
          <w:szCs w:val="24"/>
        </w:rPr>
      </w:pPr>
      <w:r w:rsidRPr="00C22D4E">
        <w:rPr>
          <w:sz w:val="24"/>
          <w:szCs w:val="24"/>
        </w:rPr>
        <w:t>Fig. 14</w:t>
      </w:r>
      <w:r w:rsidRPr="005B3865">
        <w:rPr>
          <w:b w:val="0"/>
          <w:bCs w:val="0"/>
          <w:sz w:val="24"/>
          <w:szCs w:val="24"/>
        </w:rPr>
        <w:t xml:space="preserve"> The results of the study quality assessment using the Standard Quality Assessment Criteria for Evaluating Primary Research Papers from a Variety of Fields (SQAC; Kmet et al., 2004)</w:t>
      </w:r>
    </w:p>
    <w:p w:rsidR="00AE11AF" w:rsidRPr="005B3865" w:rsidRDefault="00AE11AF" w:rsidP="00AE11AF">
      <w:r w:rsidRPr="005B3865">
        <w:t>Note:</w:t>
      </w:r>
    </w:p>
    <w:p w:rsidR="00AE11AF" w:rsidRPr="005B3865" w:rsidRDefault="00AE11AF" w:rsidP="00AE11AF">
      <w:r w:rsidRPr="005B3865">
        <w:t>D1: Is the objective of the study sufficiently described?</w:t>
      </w:r>
    </w:p>
    <w:p w:rsidR="00AE11AF" w:rsidRPr="005B3865" w:rsidRDefault="00AE11AF" w:rsidP="00AE11AF">
      <w:r w:rsidRPr="005B3865">
        <w:t>D2: Study design evident and appropriate?</w:t>
      </w:r>
    </w:p>
    <w:p w:rsidR="00AE11AF" w:rsidRPr="005B3865" w:rsidRDefault="00AE11AF" w:rsidP="00AE11AF">
      <w:r w:rsidRPr="005B3865">
        <w:t>D3: Method of subject/comparison group selection or source of information/input variables described and appropriate?</w:t>
      </w:r>
    </w:p>
    <w:p w:rsidR="00AE11AF" w:rsidRPr="005B3865" w:rsidRDefault="00AE11AF" w:rsidP="00AE11AF">
      <w:r w:rsidRPr="005B3865">
        <w:t>D4: Subject (and comparison group if applicable) characteristics sufficiently described?</w:t>
      </w:r>
    </w:p>
    <w:p w:rsidR="00AE11AF" w:rsidRPr="005B3865" w:rsidRDefault="00AE11AF" w:rsidP="00AE11AF">
      <w:r w:rsidRPr="005B3865">
        <w:t>D5: If interventional and random allocation was possible, was it described?</w:t>
      </w:r>
    </w:p>
    <w:p w:rsidR="00AE11AF" w:rsidRPr="005B3865" w:rsidRDefault="00AE11AF" w:rsidP="00AE11AF">
      <w:r w:rsidRPr="005B3865">
        <w:t>D6: If interventional and blinding of investigators was possible, was it reported?</w:t>
      </w:r>
    </w:p>
    <w:p w:rsidR="00AE11AF" w:rsidRPr="005B3865" w:rsidRDefault="00AE11AF" w:rsidP="00AE11AF">
      <w:r w:rsidRPr="005B3865">
        <w:t>D7: If interventional and blinding of subjects was possible, was it reported?</w:t>
      </w:r>
    </w:p>
    <w:p w:rsidR="00AE11AF" w:rsidRPr="005B3865" w:rsidRDefault="00AE11AF" w:rsidP="00AE11AF">
      <w:r w:rsidRPr="005B3865">
        <w:t>D8: Outcome and (if applicable) exposure measure(s) well defined and robust to measure/misclassification bias? Means of assessment reported?</w:t>
      </w:r>
    </w:p>
    <w:p w:rsidR="00AE11AF" w:rsidRPr="005B3865" w:rsidRDefault="00AE11AF" w:rsidP="00AE11AF">
      <w:r w:rsidRPr="005B3865">
        <w:t>D9: Sample size appropriate?</w:t>
      </w:r>
    </w:p>
    <w:p w:rsidR="00AE11AF" w:rsidRPr="005B3865" w:rsidRDefault="00AE11AF" w:rsidP="00AE11AF">
      <w:r w:rsidRPr="005B3865">
        <w:t>D10: Analytic methods described/justified and appropriate?</w:t>
      </w:r>
    </w:p>
    <w:p w:rsidR="00AE11AF" w:rsidRPr="005B3865" w:rsidRDefault="00AE11AF" w:rsidP="00AE11AF">
      <w:r w:rsidRPr="005B3865">
        <w:t>D11: Some estimate of variance is reported for the main results?</w:t>
      </w:r>
    </w:p>
    <w:p w:rsidR="00AE11AF" w:rsidRPr="005B3865" w:rsidRDefault="00AE11AF" w:rsidP="00AE11AF">
      <w:r w:rsidRPr="005B3865">
        <w:t>D12: Controlled for confounding?</w:t>
      </w:r>
    </w:p>
    <w:p w:rsidR="00AE11AF" w:rsidRPr="005B3865" w:rsidRDefault="00AE11AF" w:rsidP="00AE11AF">
      <w:r w:rsidRPr="005B3865">
        <w:t>D13: Result reported in sufficient detail?</w:t>
      </w:r>
    </w:p>
    <w:p w:rsidR="00AE11AF" w:rsidRPr="005B3865" w:rsidRDefault="00AE11AF" w:rsidP="00AE11AF">
      <w:r w:rsidRPr="005B3865">
        <w:t xml:space="preserve">D14: Conclusion supported by results? </w:t>
      </w:r>
    </w:p>
    <w:p w:rsidR="008954F4" w:rsidRDefault="008954F4">
      <w:bookmarkStart w:id="0" w:name="_GoBack"/>
      <w:bookmarkEnd w:id="0"/>
    </w:p>
    <w:sectPr w:rsidR="008954F4" w:rsidSect="00275FD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1AF"/>
    <w:rsid w:val="00002F9C"/>
    <w:rsid w:val="0001134A"/>
    <w:rsid w:val="00021648"/>
    <w:rsid w:val="000256C5"/>
    <w:rsid w:val="000500F3"/>
    <w:rsid w:val="000501EB"/>
    <w:rsid w:val="00050DDC"/>
    <w:rsid w:val="00050EA1"/>
    <w:rsid w:val="00053DB3"/>
    <w:rsid w:val="00054414"/>
    <w:rsid w:val="00056428"/>
    <w:rsid w:val="00056436"/>
    <w:rsid w:val="000625CC"/>
    <w:rsid w:val="000630F0"/>
    <w:rsid w:val="00065BBA"/>
    <w:rsid w:val="00067FFE"/>
    <w:rsid w:val="000806EA"/>
    <w:rsid w:val="0008720F"/>
    <w:rsid w:val="00092D34"/>
    <w:rsid w:val="00093727"/>
    <w:rsid w:val="00095026"/>
    <w:rsid w:val="000966C1"/>
    <w:rsid w:val="00097FFD"/>
    <w:rsid w:val="000A4471"/>
    <w:rsid w:val="000A6CF1"/>
    <w:rsid w:val="000A78FA"/>
    <w:rsid w:val="000B16AC"/>
    <w:rsid w:val="000B44D1"/>
    <w:rsid w:val="000B5FE2"/>
    <w:rsid w:val="000B69D1"/>
    <w:rsid w:val="000C077F"/>
    <w:rsid w:val="000C2CD3"/>
    <w:rsid w:val="000C5C9E"/>
    <w:rsid w:val="000C6287"/>
    <w:rsid w:val="000D4069"/>
    <w:rsid w:val="000D4F70"/>
    <w:rsid w:val="000D5273"/>
    <w:rsid w:val="000E4BBB"/>
    <w:rsid w:val="000F407A"/>
    <w:rsid w:val="000F4094"/>
    <w:rsid w:val="000F4B0F"/>
    <w:rsid w:val="00102FDB"/>
    <w:rsid w:val="00103145"/>
    <w:rsid w:val="0010637F"/>
    <w:rsid w:val="001077EB"/>
    <w:rsid w:val="001126B7"/>
    <w:rsid w:val="0011478D"/>
    <w:rsid w:val="001151EF"/>
    <w:rsid w:val="00116D79"/>
    <w:rsid w:val="00131810"/>
    <w:rsid w:val="00133D34"/>
    <w:rsid w:val="00135523"/>
    <w:rsid w:val="001452DB"/>
    <w:rsid w:val="00145F4B"/>
    <w:rsid w:val="0014690A"/>
    <w:rsid w:val="001502E3"/>
    <w:rsid w:val="001537F4"/>
    <w:rsid w:val="0015455C"/>
    <w:rsid w:val="00163E50"/>
    <w:rsid w:val="00165644"/>
    <w:rsid w:val="001659D4"/>
    <w:rsid w:val="00165DB5"/>
    <w:rsid w:val="0016707F"/>
    <w:rsid w:val="0016747C"/>
    <w:rsid w:val="0016760C"/>
    <w:rsid w:val="00167D2D"/>
    <w:rsid w:val="0017240D"/>
    <w:rsid w:val="00176D61"/>
    <w:rsid w:val="001870B1"/>
    <w:rsid w:val="0019175D"/>
    <w:rsid w:val="00193E87"/>
    <w:rsid w:val="00195501"/>
    <w:rsid w:val="00196E28"/>
    <w:rsid w:val="001A5094"/>
    <w:rsid w:val="001A770A"/>
    <w:rsid w:val="001B2AAF"/>
    <w:rsid w:val="001B76BB"/>
    <w:rsid w:val="001C26E8"/>
    <w:rsid w:val="001C5D31"/>
    <w:rsid w:val="001D143E"/>
    <w:rsid w:val="001D31A7"/>
    <w:rsid w:val="001D3E3A"/>
    <w:rsid w:val="001D4A17"/>
    <w:rsid w:val="001E2861"/>
    <w:rsid w:val="001E3F4A"/>
    <w:rsid w:val="001E47E9"/>
    <w:rsid w:val="001E7822"/>
    <w:rsid w:val="001F0CE4"/>
    <w:rsid w:val="001F113D"/>
    <w:rsid w:val="001F2F45"/>
    <w:rsid w:val="001F6825"/>
    <w:rsid w:val="002001C6"/>
    <w:rsid w:val="0020151F"/>
    <w:rsid w:val="00203E26"/>
    <w:rsid w:val="00207E6E"/>
    <w:rsid w:val="002124B8"/>
    <w:rsid w:val="00212E11"/>
    <w:rsid w:val="0021339F"/>
    <w:rsid w:val="00220D88"/>
    <w:rsid w:val="00221387"/>
    <w:rsid w:val="00222668"/>
    <w:rsid w:val="00225089"/>
    <w:rsid w:val="0022542B"/>
    <w:rsid w:val="00226096"/>
    <w:rsid w:val="0022769D"/>
    <w:rsid w:val="00230411"/>
    <w:rsid w:val="00230549"/>
    <w:rsid w:val="002310EF"/>
    <w:rsid w:val="0023743A"/>
    <w:rsid w:val="00237984"/>
    <w:rsid w:val="00240873"/>
    <w:rsid w:val="00241ECA"/>
    <w:rsid w:val="002428D7"/>
    <w:rsid w:val="00244718"/>
    <w:rsid w:val="002471D0"/>
    <w:rsid w:val="00247790"/>
    <w:rsid w:val="00254DD4"/>
    <w:rsid w:val="0025722B"/>
    <w:rsid w:val="00261024"/>
    <w:rsid w:val="0026144D"/>
    <w:rsid w:val="00262C23"/>
    <w:rsid w:val="0027269B"/>
    <w:rsid w:val="00274887"/>
    <w:rsid w:val="00274C2A"/>
    <w:rsid w:val="00276F65"/>
    <w:rsid w:val="00286E26"/>
    <w:rsid w:val="00290711"/>
    <w:rsid w:val="00296EC2"/>
    <w:rsid w:val="002A0E54"/>
    <w:rsid w:val="002A240F"/>
    <w:rsid w:val="002A2507"/>
    <w:rsid w:val="002A7AD7"/>
    <w:rsid w:val="002B09EC"/>
    <w:rsid w:val="002B0F73"/>
    <w:rsid w:val="002B0FDD"/>
    <w:rsid w:val="002B66AD"/>
    <w:rsid w:val="002B737A"/>
    <w:rsid w:val="002C6A36"/>
    <w:rsid w:val="002D4E16"/>
    <w:rsid w:val="002D6BD4"/>
    <w:rsid w:val="002D7950"/>
    <w:rsid w:val="002D7BE0"/>
    <w:rsid w:val="002E0D4F"/>
    <w:rsid w:val="002E1772"/>
    <w:rsid w:val="002E21DA"/>
    <w:rsid w:val="002E22C5"/>
    <w:rsid w:val="002E5D84"/>
    <w:rsid w:val="002F04DF"/>
    <w:rsid w:val="002F072A"/>
    <w:rsid w:val="002F0BDE"/>
    <w:rsid w:val="002F61EC"/>
    <w:rsid w:val="00300E37"/>
    <w:rsid w:val="00301AB8"/>
    <w:rsid w:val="0030427F"/>
    <w:rsid w:val="00304296"/>
    <w:rsid w:val="00305528"/>
    <w:rsid w:val="00306C6F"/>
    <w:rsid w:val="0030732F"/>
    <w:rsid w:val="0031178B"/>
    <w:rsid w:val="00313C42"/>
    <w:rsid w:val="00317CB9"/>
    <w:rsid w:val="00320253"/>
    <w:rsid w:val="00324BB2"/>
    <w:rsid w:val="003263F0"/>
    <w:rsid w:val="00330EDB"/>
    <w:rsid w:val="003323FB"/>
    <w:rsid w:val="0033558D"/>
    <w:rsid w:val="00341BC0"/>
    <w:rsid w:val="003439F3"/>
    <w:rsid w:val="00343CBF"/>
    <w:rsid w:val="00352EF7"/>
    <w:rsid w:val="00353120"/>
    <w:rsid w:val="00361EE6"/>
    <w:rsid w:val="003626C1"/>
    <w:rsid w:val="00363B8B"/>
    <w:rsid w:val="003674D8"/>
    <w:rsid w:val="0037056F"/>
    <w:rsid w:val="00374D7F"/>
    <w:rsid w:val="00375D71"/>
    <w:rsid w:val="00380A0D"/>
    <w:rsid w:val="00383748"/>
    <w:rsid w:val="00383752"/>
    <w:rsid w:val="00385F29"/>
    <w:rsid w:val="00386D4F"/>
    <w:rsid w:val="00391531"/>
    <w:rsid w:val="003957C6"/>
    <w:rsid w:val="00397DB1"/>
    <w:rsid w:val="003A182A"/>
    <w:rsid w:val="003A46C3"/>
    <w:rsid w:val="003A7068"/>
    <w:rsid w:val="003A7DC6"/>
    <w:rsid w:val="003B0A49"/>
    <w:rsid w:val="003B0ADB"/>
    <w:rsid w:val="003B1440"/>
    <w:rsid w:val="003B41D4"/>
    <w:rsid w:val="003B6CE8"/>
    <w:rsid w:val="003C6B3B"/>
    <w:rsid w:val="003D025B"/>
    <w:rsid w:val="003D1B1D"/>
    <w:rsid w:val="003D27E7"/>
    <w:rsid w:val="003D29B9"/>
    <w:rsid w:val="003D42B1"/>
    <w:rsid w:val="003D5B85"/>
    <w:rsid w:val="003D758C"/>
    <w:rsid w:val="003E0A44"/>
    <w:rsid w:val="003E1923"/>
    <w:rsid w:val="003E5EEB"/>
    <w:rsid w:val="003E7C71"/>
    <w:rsid w:val="003F07C6"/>
    <w:rsid w:val="003F57BD"/>
    <w:rsid w:val="003F6F3A"/>
    <w:rsid w:val="004010F1"/>
    <w:rsid w:val="0040120F"/>
    <w:rsid w:val="004034EB"/>
    <w:rsid w:val="00403576"/>
    <w:rsid w:val="004069A4"/>
    <w:rsid w:val="00407855"/>
    <w:rsid w:val="00407904"/>
    <w:rsid w:val="00407ABC"/>
    <w:rsid w:val="00411FCC"/>
    <w:rsid w:val="0041368D"/>
    <w:rsid w:val="00413D52"/>
    <w:rsid w:val="004151E4"/>
    <w:rsid w:val="00415B5E"/>
    <w:rsid w:val="0042154A"/>
    <w:rsid w:val="00433BED"/>
    <w:rsid w:val="00436B91"/>
    <w:rsid w:val="00441645"/>
    <w:rsid w:val="00443EF9"/>
    <w:rsid w:val="00450F4B"/>
    <w:rsid w:val="004525F9"/>
    <w:rsid w:val="004536F1"/>
    <w:rsid w:val="00453CC7"/>
    <w:rsid w:val="0046454E"/>
    <w:rsid w:val="00466309"/>
    <w:rsid w:val="00466D94"/>
    <w:rsid w:val="00470A34"/>
    <w:rsid w:val="0047484B"/>
    <w:rsid w:val="00476133"/>
    <w:rsid w:val="00477C6B"/>
    <w:rsid w:val="00482665"/>
    <w:rsid w:val="0048333A"/>
    <w:rsid w:val="0048491C"/>
    <w:rsid w:val="00485E6A"/>
    <w:rsid w:val="00486A0B"/>
    <w:rsid w:val="00486B30"/>
    <w:rsid w:val="00486F52"/>
    <w:rsid w:val="00492E19"/>
    <w:rsid w:val="004950FE"/>
    <w:rsid w:val="004966F8"/>
    <w:rsid w:val="004A1921"/>
    <w:rsid w:val="004A2B7E"/>
    <w:rsid w:val="004A7A90"/>
    <w:rsid w:val="004B204A"/>
    <w:rsid w:val="004B2E04"/>
    <w:rsid w:val="004B4DE3"/>
    <w:rsid w:val="004B67A8"/>
    <w:rsid w:val="004C5B26"/>
    <w:rsid w:val="004C7A95"/>
    <w:rsid w:val="004C7BA1"/>
    <w:rsid w:val="004D1AAB"/>
    <w:rsid w:val="004D261E"/>
    <w:rsid w:val="004D2E58"/>
    <w:rsid w:val="004D73C7"/>
    <w:rsid w:val="004E1191"/>
    <w:rsid w:val="004E564A"/>
    <w:rsid w:val="004F1A53"/>
    <w:rsid w:val="004F204E"/>
    <w:rsid w:val="004F29F3"/>
    <w:rsid w:val="004F3682"/>
    <w:rsid w:val="004F44F0"/>
    <w:rsid w:val="004F45C1"/>
    <w:rsid w:val="004F5683"/>
    <w:rsid w:val="004F6134"/>
    <w:rsid w:val="005006CE"/>
    <w:rsid w:val="00503AC3"/>
    <w:rsid w:val="00503C0B"/>
    <w:rsid w:val="00503DAB"/>
    <w:rsid w:val="00504D66"/>
    <w:rsid w:val="00506246"/>
    <w:rsid w:val="00512DEA"/>
    <w:rsid w:val="00513E3F"/>
    <w:rsid w:val="005146F7"/>
    <w:rsid w:val="00515A2F"/>
    <w:rsid w:val="00516520"/>
    <w:rsid w:val="005221E7"/>
    <w:rsid w:val="00522EBD"/>
    <w:rsid w:val="00524CF2"/>
    <w:rsid w:val="00524E79"/>
    <w:rsid w:val="00525548"/>
    <w:rsid w:val="00533C5B"/>
    <w:rsid w:val="00533D29"/>
    <w:rsid w:val="00535C98"/>
    <w:rsid w:val="00536C2D"/>
    <w:rsid w:val="00537F82"/>
    <w:rsid w:val="00540563"/>
    <w:rsid w:val="005420EA"/>
    <w:rsid w:val="00542ABC"/>
    <w:rsid w:val="00542B21"/>
    <w:rsid w:val="005430CB"/>
    <w:rsid w:val="005473B3"/>
    <w:rsid w:val="00551C78"/>
    <w:rsid w:val="005556B6"/>
    <w:rsid w:val="00555A36"/>
    <w:rsid w:val="00555D8C"/>
    <w:rsid w:val="00562661"/>
    <w:rsid w:val="005648A2"/>
    <w:rsid w:val="00570353"/>
    <w:rsid w:val="0057588C"/>
    <w:rsid w:val="00581401"/>
    <w:rsid w:val="0059162C"/>
    <w:rsid w:val="00592ACE"/>
    <w:rsid w:val="005A0A63"/>
    <w:rsid w:val="005A3EE8"/>
    <w:rsid w:val="005A4DA5"/>
    <w:rsid w:val="005A5152"/>
    <w:rsid w:val="005A5272"/>
    <w:rsid w:val="005A7CA8"/>
    <w:rsid w:val="005B5477"/>
    <w:rsid w:val="005B5B4F"/>
    <w:rsid w:val="005B64B9"/>
    <w:rsid w:val="005B7128"/>
    <w:rsid w:val="005C3A8A"/>
    <w:rsid w:val="005C58B7"/>
    <w:rsid w:val="005C6800"/>
    <w:rsid w:val="005D3298"/>
    <w:rsid w:val="005D6544"/>
    <w:rsid w:val="005E5334"/>
    <w:rsid w:val="005E7635"/>
    <w:rsid w:val="00603939"/>
    <w:rsid w:val="00604FA6"/>
    <w:rsid w:val="006200DA"/>
    <w:rsid w:val="00622C7E"/>
    <w:rsid w:val="00623667"/>
    <w:rsid w:val="00623773"/>
    <w:rsid w:val="00624C89"/>
    <w:rsid w:val="006255E1"/>
    <w:rsid w:val="00631878"/>
    <w:rsid w:val="00635DE3"/>
    <w:rsid w:val="006361AD"/>
    <w:rsid w:val="00636694"/>
    <w:rsid w:val="00641CD1"/>
    <w:rsid w:val="00645F34"/>
    <w:rsid w:val="006467CE"/>
    <w:rsid w:val="0064791F"/>
    <w:rsid w:val="0064792A"/>
    <w:rsid w:val="0065294F"/>
    <w:rsid w:val="006626A1"/>
    <w:rsid w:val="006628EF"/>
    <w:rsid w:val="0066471C"/>
    <w:rsid w:val="006708CC"/>
    <w:rsid w:val="00676907"/>
    <w:rsid w:val="00676BF4"/>
    <w:rsid w:val="006778F5"/>
    <w:rsid w:val="006835F2"/>
    <w:rsid w:val="00690159"/>
    <w:rsid w:val="006910AB"/>
    <w:rsid w:val="006917DB"/>
    <w:rsid w:val="00691F19"/>
    <w:rsid w:val="006951BD"/>
    <w:rsid w:val="006975BC"/>
    <w:rsid w:val="006A04DC"/>
    <w:rsid w:val="006B1040"/>
    <w:rsid w:val="006B1D70"/>
    <w:rsid w:val="006B7637"/>
    <w:rsid w:val="006C1197"/>
    <w:rsid w:val="006C41DD"/>
    <w:rsid w:val="006C5B89"/>
    <w:rsid w:val="006D34C7"/>
    <w:rsid w:val="006D53CC"/>
    <w:rsid w:val="006D6B7D"/>
    <w:rsid w:val="006E58DD"/>
    <w:rsid w:val="006E5E34"/>
    <w:rsid w:val="006E6F66"/>
    <w:rsid w:val="006F2F2D"/>
    <w:rsid w:val="006F3C55"/>
    <w:rsid w:val="006F7401"/>
    <w:rsid w:val="0070249B"/>
    <w:rsid w:val="007066DA"/>
    <w:rsid w:val="00710C5A"/>
    <w:rsid w:val="00715CFB"/>
    <w:rsid w:val="007206EB"/>
    <w:rsid w:val="00720DF6"/>
    <w:rsid w:val="007218BA"/>
    <w:rsid w:val="00722BDB"/>
    <w:rsid w:val="00723283"/>
    <w:rsid w:val="00723810"/>
    <w:rsid w:val="00725307"/>
    <w:rsid w:val="00730F7F"/>
    <w:rsid w:val="00733578"/>
    <w:rsid w:val="0073430E"/>
    <w:rsid w:val="0073664E"/>
    <w:rsid w:val="007401B8"/>
    <w:rsid w:val="0074076C"/>
    <w:rsid w:val="00742142"/>
    <w:rsid w:val="007429A9"/>
    <w:rsid w:val="007529C0"/>
    <w:rsid w:val="007557CA"/>
    <w:rsid w:val="0075751E"/>
    <w:rsid w:val="00765B19"/>
    <w:rsid w:val="00766CA5"/>
    <w:rsid w:val="00771065"/>
    <w:rsid w:val="007811E0"/>
    <w:rsid w:val="00790B46"/>
    <w:rsid w:val="00792D21"/>
    <w:rsid w:val="00793F0E"/>
    <w:rsid w:val="007953FD"/>
    <w:rsid w:val="007A09D6"/>
    <w:rsid w:val="007A3CB9"/>
    <w:rsid w:val="007A5867"/>
    <w:rsid w:val="007A779E"/>
    <w:rsid w:val="007C026E"/>
    <w:rsid w:val="007C12A6"/>
    <w:rsid w:val="007C423C"/>
    <w:rsid w:val="007C72C9"/>
    <w:rsid w:val="007D3E16"/>
    <w:rsid w:val="007D5012"/>
    <w:rsid w:val="007E023F"/>
    <w:rsid w:val="007E06E7"/>
    <w:rsid w:val="007E24F7"/>
    <w:rsid w:val="007E7C8B"/>
    <w:rsid w:val="007F04E9"/>
    <w:rsid w:val="007F0EDD"/>
    <w:rsid w:val="007F2DE4"/>
    <w:rsid w:val="007F35EF"/>
    <w:rsid w:val="007F542B"/>
    <w:rsid w:val="007F6491"/>
    <w:rsid w:val="007F6E10"/>
    <w:rsid w:val="0080211D"/>
    <w:rsid w:val="00802443"/>
    <w:rsid w:val="00810697"/>
    <w:rsid w:val="00813EA2"/>
    <w:rsid w:val="00814003"/>
    <w:rsid w:val="0081434C"/>
    <w:rsid w:val="00814D6F"/>
    <w:rsid w:val="00827929"/>
    <w:rsid w:val="00834012"/>
    <w:rsid w:val="00835C57"/>
    <w:rsid w:val="00837649"/>
    <w:rsid w:val="00837954"/>
    <w:rsid w:val="00840041"/>
    <w:rsid w:val="0084107A"/>
    <w:rsid w:val="0084148A"/>
    <w:rsid w:val="00843061"/>
    <w:rsid w:val="00843EE6"/>
    <w:rsid w:val="00844156"/>
    <w:rsid w:val="00844AE3"/>
    <w:rsid w:val="00847A27"/>
    <w:rsid w:val="00852A9D"/>
    <w:rsid w:val="008559FC"/>
    <w:rsid w:val="008575C5"/>
    <w:rsid w:val="00860528"/>
    <w:rsid w:val="008607E9"/>
    <w:rsid w:val="008665DF"/>
    <w:rsid w:val="008666DC"/>
    <w:rsid w:val="00870B52"/>
    <w:rsid w:val="00874E59"/>
    <w:rsid w:val="008770C4"/>
    <w:rsid w:val="0088264C"/>
    <w:rsid w:val="00884F7E"/>
    <w:rsid w:val="008862FE"/>
    <w:rsid w:val="00890191"/>
    <w:rsid w:val="00890CD0"/>
    <w:rsid w:val="0089544C"/>
    <w:rsid w:val="008954F4"/>
    <w:rsid w:val="0089791B"/>
    <w:rsid w:val="008A2BC1"/>
    <w:rsid w:val="008A51E6"/>
    <w:rsid w:val="008A7943"/>
    <w:rsid w:val="008C0C2E"/>
    <w:rsid w:val="008C0C87"/>
    <w:rsid w:val="008C51F0"/>
    <w:rsid w:val="008C718C"/>
    <w:rsid w:val="008C7389"/>
    <w:rsid w:val="008D1E07"/>
    <w:rsid w:val="008D3430"/>
    <w:rsid w:val="008D3766"/>
    <w:rsid w:val="008D7D13"/>
    <w:rsid w:val="008E0514"/>
    <w:rsid w:val="008E4344"/>
    <w:rsid w:val="008F66F5"/>
    <w:rsid w:val="008F6D48"/>
    <w:rsid w:val="00904836"/>
    <w:rsid w:val="00904CA0"/>
    <w:rsid w:val="0090567E"/>
    <w:rsid w:val="0091231A"/>
    <w:rsid w:val="0091285B"/>
    <w:rsid w:val="00923FCC"/>
    <w:rsid w:val="0092454B"/>
    <w:rsid w:val="009271DD"/>
    <w:rsid w:val="00927BF0"/>
    <w:rsid w:val="00927C5A"/>
    <w:rsid w:val="00931E4E"/>
    <w:rsid w:val="00932236"/>
    <w:rsid w:val="00933DA3"/>
    <w:rsid w:val="00933F30"/>
    <w:rsid w:val="00935AB5"/>
    <w:rsid w:val="0093633B"/>
    <w:rsid w:val="009378BF"/>
    <w:rsid w:val="00937AB5"/>
    <w:rsid w:val="009417D1"/>
    <w:rsid w:val="00944BE4"/>
    <w:rsid w:val="00945A21"/>
    <w:rsid w:val="00947AAD"/>
    <w:rsid w:val="00950B3A"/>
    <w:rsid w:val="009529E9"/>
    <w:rsid w:val="00953550"/>
    <w:rsid w:val="00956F1E"/>
    <w:rsid w:val="009572C2"/>
    <w:rsid w:val="00957658"/>
    <w:rsid w:val="00960CA5"/>
    <w:rsid w:val="009633AE"/>
    <w:rsid w:val="00966867"/>
    <w:rsid w:val="0096754B"/>
    <w:rsid w:val="00967C4A"/>
    <w:rsid w:val="00973464"/>
    <w:rsid w:val="0097695D"/>
    <w:rsid w:val="00976C58"/>
    <w:rsid w:val="009807F6"/>
    <w:rsid w:val="00980AA1"/>
    <w:rsid w:val="0098329E"/>
    <w:rsid w:val="00991DCD"/>
    <w:rsid w:val="00992905"/>
    <w:rsid w:val="0099353A"/>
    <w:rsid w:val="00993550"/>
    <w:rsid w:val="009975CA"/>
    <w:rsid w:val="009B5CB7"/>
    <w:rsid w:val="009B68AC"/>
    <w:rsid w:val="009C0618"/>
    <w:rsid w:val="009C0C42"/>
    <w:rsid w:val="009C0C9C"/>
    <w:rsid w:val="009C0DFD"/>
    <w:rsid w:val="009C4E6C"/>
    <w:rsid w:val="009D02B5"/>
    <w:rsid w:val="009D715A"/>
    <w:rsid w:val="009E34CD"/>
    <w:rsid w:val="009E44F7"/>
    <w:rsid w:val="009F0CE4"/>
    <w:rsid w:val="009F106A"/>
    <w:rsid w:val="009F1FB6"/>
    <w:rsid w:val="00A138BE"/>
    <w:rsid w:val="00A16E3A"/>
    <w:rsid w:val="00A26094"/>
    <w:rsid w:val="00A26993"/>
    <w:rsid w:val="00A33BB3"/>
    <w:rsid w:val="00A370F6"/>
    <w:rsid w:val="00A37873"/>
    <w:rsid w:val="00A4144C"/>
    <w:rsid w:val="00A43819"/>
    <w:rsid w:val="00A45E9A"/>
    <w:rsid w:val="00A46D42"/>
    <w:rsid w:val="00A47D46"/>
    <w:rsid w:val="00A54B06"/>
    <w:rsid w:val="00A55180"/>
    <w:rsid w:val="00A5576F"/>
    <w:rsid w:val="00A579FD"/>
    <w:rsid w:val="00A65524"/>
    <w:rsid w:val="00A664A5"/>
    <w:rsid w:val="00A86D9E"/>
    <w:rsid w:val="00A876BE"/>
    <w:rsid w:val="00A95A1D"/>
    <w:rsid w:val="00A96030"/>
    <w:rsid w:val="00A97098"/>
    <w:rsid w:val="00AA1078"/>
    <w:rsid w:val="00AA1817"/>
    <w:rsid w:val="00AA2ECD"/>
    <w:rsid w:val="00AA4546"/>
    <w:rsid w:val="00AA485A"/>
    <w:rsid w:val="00AA5A8B"/>
    <w:rsid w:val="00AA76F6"/>
    <w:rsid w:val="00AA778C"/>
    <w:rsid w:val="00AB3712"/>
    <w:rsid w:val="00AB4C2A"/>
    <w:rsid w:val="00AB6C94"/>
    <w:rsid w:val="00AB6F85"/>
    <w:rsid w:val="00AC2EF5"/>
    <w:rsid w:val="00AC7F08"/>
    <w:rsid w:val="00AD0706"/>
    <w:rsid w:val="00AD23C3"/>
    <w:rsid w:val="00AD2404"/>
    <w:rsid w:val="00AD36C0"/>
    <w:rsid w:val="00AD4B20"/>
    <w:rsid w:val="00AE11AF"/>
    <w:rsid w:val="00AE1930"/>
    <w:rsid w:val="00AE529E"/>
    <w:rsid w:val="00AE76BD"/>
    <w:rsid w:val="00AF33AC"/>
    <w:rsid w:val="00AF5542"/>
    <w:rsid w:val="00AF692F"/>
    <w:rsid w:val="00B012AF"/>
    <w:rsid w:val="00B054A7"/>
    <w:rsid w:val="00B07435"/>
    <w:rsid w:val="00B13009"/>
    <w:rsid w:val="00B2107F"/>
    <w:rsid w:val="00B22EE7"/>
    <w:rsid w:val="00B24088"/>
    <w:rsid w:val="00B25604"/>
    <w:rsid w:val="00B26F70"/>
    <w:rsid w:val="00B43372"/>
    <w:rsid w:val="00B44467"/>
    <w:rsid w:val="00B44D04"/>
    <w:rsid w:val="00B478EC"/>
    <w:rsid w:val="00B50CE3"/>
    <w:rsid w:val="00B51B3A"/>
    <w:rsid w:val="00B52461"/>
    <w:rsid w:val="00B5289A"/>
    <w:rsid w:val="00B52D84"/>
    <w:rsid w:val="00B56DBC"/>
    <w:rsid w:val="00B63B48"/>
    <w:rsid w:val="00B651CA"/>
    <w:rsid w:val="00B65CC3"/>
    <w:rsid w:val="00B724A4"/>
    <w:rsid w:val="00B72ADD"/>
    <w:rsid w:val="00B76728"/>
    <w:rsid w:val="00B76CFF"/>
    <w:rsid w:val="00B8253B"/>
    <w:rsid w:val="00B82672"/>
    <w:rsid w:val="00B8585A"/>
    <w:rsid w:val="00B85B15"/>
    <w:rsid w:val="00B92358"/>
    <w:rsid w:val="00B937CC"/>
    <w:rsid w:val="00B973EC"/>
    <w:rsid w:val="00B97E5E"/>
    <w:rsid w:val="00BA15AF"/>
    <w:rsid w:val="00BA1B6C"/>
    <w:rsid w:val="00BA3A72"/>
    <w:rsid w:val="00BA5FCF"/>
    <w:rsid w:val="00BB00E6"/>
    <w:rsid w:val="00BB0735"/>
    <w:rsid w:val="00BB1191"/>
    <w:rsid w:val="00BB11FB"/>
    <w:rsid w:val="00BB14D9"/>
    <w:rsid w:val="00BB3A03"/>
    <w:rsid w:val="00BC2A79"/>
    <w:rsid w:val="00BC7D72"/>
    <w:rsid w:val="00BD0EEF"/>
    <w:rsid w:val="00BD111F"/>
    <w:rsid w:val="00BD27CA"/>
    <w:rsid w:val="00BD401B"/>
    <w:rsid w:val="00BE2A83"/>
    <w:rsid w:val="00BE329F"/>
    <w:rsid w:val="00BF240C"/>
    <w:rsid w:val="00BF3EAF"/>
    <w:rsid w:val="00BF4BD3"/>
    <w:rsid w:val="00BF67B8"/>
    <w:rsid w:val="00BF69CE"/>
    <w:rsid w:val="00C015F6"/>
    <w:rsid w:val="00C01FD8"/>
    <w:rsid w:val="00C04713"/>
    <w:rsid w:val="00C04F1C"/>
    <w:rsid w:val="00C05C8F"/>
    <w:rsid w:val="00C06009"/>
    <w:rsid w:val="00C1084A"/>
    <w:rsid w:val="00C1217E"/>
    <w:rsid w:val="00C1507A"/>
    <w:rsid w:val="00C2497F"/>
    <w:rsid w:val="00C2546D"/>
    <w:rsid w:val="00C25572"/>
    <w:rsid w:val="00C2633E"/>
    <w:rsid w:val="00C26435"/>
    <w:rsid w:val="00C27ECE"/>
    <w:rsid w:val="00C319B6"/>
    <w:rsid w:val="00C31F95"/>
    <w:rsid w:val="00C3363D"/>
    <w:rsid w:val="00C35464"/>
    <w:rsid w:val="00C40F32"/>
    <w:rsid w:val="00C41F51"/>
    <w:rsid w:val="00C44804"/>
    <w:rsid w:val="00C46900"/>
    <w:rsid w:val="00C47069"/>
    <w:rsid w:val="00C529C0"/>
    <w:rsid w:val="00C53071"/>
    <w:rsid w:val="00C5404B"/>
    <w:rsid w:val="00C56126"/>
    <w:rsid w:val="00C5706F"/>
    <w:rsid w:val="00C57D8C"/>
    <w:rsid w:val="00C712F1"/>
    <w:rsid w:val="00C73A03"/>
    <w:rsid w:val="00C75C4F"/>
    <w:rsid w:val="00C80954"/>
    <w:rsid w:val="00C83742"/>
    <w:rsid w:val="00C8557C"/>
    <w:rsid w:val="00C9535D"/>
    <w:rsid w:val="00C9550D"/>
    <w:rsid w:val="00CA1EC8"/>
    <w:rsid w:val="00CA2819"/>
    <w:rsid w:val="00CA633E"/>
    <w:rsid w:val="00CB218D"/>
    <w:rsid w:val="00CB47A6"/>
    <w:rsid w:val="00CC0322"/>
    <w:rsid w:val="00CC2A1C"/>
    <w:rsid w:val="00CC4307"/>
    <w:rsid w:val="00CC513E"/>
    <w:rsid w:val="00CD3B1E"/>
    <w:rsid w:val="00CD4079"/>
    <w:rsid w:val="00CD6943"/>
    <w:rsid w:val="00CD772B"/>
    <w:rsid w:val="00CD7A62"/>
    <w:rsid w:val="00CE2D68"/>
    <w:rsid w:val="00CE48F2"/>
    <w:rsid w:val="00CE4EBB"/>
    <w:rsid w:val="00CF0DF1"/>
    <w:rsid w:val="00CF2522"/>
    <w:rsid w:val="00CF50F8"/>
    <w:rsid w:val="00CF5283"/>
    <w:rsid w:val="00CF7581"/>
    <w:rsid w:val="00D02B92"/>
    <w:rsid w:val="00D0618D"/>
    <w:rsid w:val="00D10255"/>
    <w:rsid w:val="00D132DB"/>
    <w:rsid w:val="00D17804"/>
    <w:rsid w:val="00D240E1"/>
    <w:rsid w:val="00D27AF0"/>
    <w:rsid w:val="00D32E86"/>
    <w:rsid w:val="00D34572"/>
    <w:rsid w:val="00D37104"/>
    <w:rsid w:val="00D37F6F"/>
    <w:rsid w:val="00D42B3F"/>
    <w:rsid w:val="00D43684"/>
    <w:rsid w:val="00D43D2D"/>
    <w:rsid w:val="00D44A37"/>
    <w:rsid w:val="00D5118A"/>
    <w:rsid w:val="00D51378"/>
    <w:rsid w:val="00D53D01"/>
    <w:rsid w:val="00D55372"/>
    <w:rsid w:val="00D556DC"/>
    <w:rsid w:val="00D6461D"/>
    <w:rsid w:val="00D64B9B"/>
    <w:rsid w:val="00D737D9"/>
    <w:rsid w:val="00D80F92"/>
    <w:rsid w:val="00D85FEC"/>
    <w:rsid w:val="00D914EB"/>
    <w:rsid w:val="00D9678F"/>
    <w:rsid w:val="00D96FC7"/>
    <w:rsid w:val="00DA004B"/>
    <w:rsid w:val="00DA0C23"/>
    <w:rsid w:val="00DA4487"/>
    <w:rsid w:val="00DA5314"/>
    <w:rsid w:val="00DA58DE"/>
    <w:rsid w:val="00DB08D9"/>
    <w:rsid w:val="00DB2533"/>
    <w:rsid w:val="00DB2DF6"/>
    <w:rsid w:val="00DB7FE1"/>
    <w:rsid w:val="00DC04CC"/>
    <w:rsid w:val="00DC2D05"/>
    <w:rsid w:val="00DC3EFC"/>
    <w:rsid w:val="00DC666C"/>
    <w:rsid w:val="00DD0AD7"/>
    <w:rsid w:val="00DD4D41"/>
    <w:rsid w:val="00DE1E68"/>
    <w:rsid w:val="00DE2B96"/>
    <w:rsid w:val="00DE75C6"/>
    <w:rsid w:val="00DF26B4"/>
    <w:rsid w:val="00DF4DD5"/>
    <w:rsid w:val="00DF505A"/>
    <w:rsid w:val="00E0174E"/>
    <w:rsid w:val="00E02B37"/>
    <w:rsid w:val="00E030E3"/>
    <w:rsid w:val="00E0770A"/>
    <w:rsid w:val="00E079B4"/>
    <w:rsid w:val="00E07E24"/>
    <w:rsid w:val="00E11942"/>
    <w:rsid w:val="00E16DD9"/>
    <w:rsid w:val="00E259C4"/>
    <w:rsid w:val="00E26B7E"/>
    <w:rsid w:val="00E31A9C"/>
    <w:rsid w:val="00E34514"/>
    <w:rsid w:val="00E36736"/>
    <w:rsid w:val="00E41D9F"/>
    <w:rsid w:val="00E439C3"/>
    <w:rsid w:val="00E7151D"/>
    <w:rsid w:val="00E77E87"/>
    <w:rsid w:val="00E81310"/>
    <w:rsid w:val="00E84689"/>
    <w:rsid w:val="00E8534B"/>
    <w:rsid w:val="00E85A32"/>
    <w:rsid w:val="00E86EF1"/>
    <w:rsid w:val="00E91B75"/>
    <w:rsid w:val="00E93BF7"/>
    <w:rsid w:val="00EA1CF6"/>
    <w:rsid w:val="00EA4EBF"/>
    <w:rsid w:val="00EA7414"/>
    <w:rsid w:val="00EB2796"/>
    <w:rsid w:val="00EB2FA8"/>
    <w:rsid w:val="00EB3DCB"/>
    <w:rsid w:val="00EB5377"/>
    <w:rsid w:val="00EC1536"/>
    <w:rsid w:val="00EC22F1"/>
    <w:rsid w:val="00EC286D"/>
    <w:rsid w:val="00EC4625"/>
    <w:rsid w:val="00ED0AB1"/>
    <w:rsid w:val="00ED43E5"/>
    <w:rsid w:val="00ED6657"/>
    <w:rsid w:val="00EE1408"/>
    <w:rsid w:val="00EE5867"/>
    <w:rsid w:val="00EE7F29"/>
    <w:rsid w:val="00EF0324"/>
    <w:rsid w:val="00EF0E1C"/>
    <w:rsid w:val="00EF1F4C"/>
    <w:rsid w:val="00EF326C"/>
    <w:rsid w:val="00EF7E76"/>
    <w:rsid w:val="00F053A8"/>
    <w:rsid w:val="00F10AFC"/>
    <w:rsid w:val="00F119CA"/>
    <w:rsid w:val="00F12434"/>
    <w:rsid w:val="00F131D2"/>
    <w:rsid w:val="00F13988"/>
    <w:rsid w:val="00F13B62"/>
    <w:rsid w:val="00F15018"/>
    <w:rsid w:val="00F17B2D"/>
    <w:rsid w:val="00F20ABB"/>
    <w:rsid w:val="00F26BE4"/>
    <w:rsid w:val="00F3166E"/>
    <w:rsid w:val="00F34261"/>
    <w:rsid w:val="00F45756"/>
    <w:rsid w:val="00F472CD"/>
    <w:rsid w:val="00F53602"/>
    <w:rsid w:val="00F54E02"/>
    <w:rsid w:val="00F57C34"/>
    <w:rsid w:val="00F64ED6"/>
    <w:rsid w:val="00F65D41"/>
    <w:rsid w:val="00F66A0B"/>
    <w:rsid w:val="00F70771"/>
    <w:rsid w:val="00F70A61"/>
    <w:rsid w:val="00F70C0D"/>
    <w:rsid w:val="00F76A87"/>
    <w:rsid w:val="00F76D25"/>
    <w:rsid w:val="00F77DA6"/>
    <w:rsid w:val="00F855B0"/>
    <w:rsid w:val="00F9056F"/>
    <w:rsid w:val="00F9177B"/>
    <w:rsid w:val="00F95020"/>
    <w:rsid w:val="00FA0AF6"/>
    <w:rsid w:val="00FA1BCD"/>
    <w:rsid w:val="00FA26C8"/>
    <w:rsid w:val="00FA2B24"/>
    <w:rsid w:val="00FA35E0"/>
    <w:rsid w:val="00FA3F57"/>
    <w:rsid w:val="00FA56BD"/>
    <w:rsid w:val="00FB084E"/>
    <w:rsid w:val="00FB44DE"/>
    <w:rsid w:val="00FB5AA9"/>
    <w:rsid w:val="00FB6EDB"/>
    <w:rsid w:val="00FB77CE"/>
    <w:rsid w:val="00FC5A0E"/>
    <w:rsid w:val="00FC7073"/>
    <w:rsid w:val="00FD07D8"/>
    <w:rsid w:val="00FD288E"/>
    <w:rsid w:val="00FD2D16"/>
    <w:rsid w:val="00FD4BA5"/>
    <w:rsid w:val="00FD500D"/>
    <w:rsid w:val="00FD6C09"/>
    <w:rsid w:val="00FE1A88"/>
    <w:rsid w:val="00FF0D4F"/>
    <w:rsid w:val="00FF1113"/>
    <w:rsid w:val="00FF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unhideWhenUsed/>
    <w:qFormat/>
    <w:rsid w:val="00AE11AF"/>
    <w:pPr>
      <w:keepNext/>
      <w:spacing w:after="0" w:line="240" w:lineRule="auto"/>
      <w:outlineLvl w:val="7"/>
    </w:pPr>
    <w:rPr>
      <w:rFonts w:ascii="Times New Roman" w:eastAsia="Times New Roman" w:hAnsi="Times New Roman" w:cs="Times New Roman"/>
      <w:b/>
      <w:bCs/>
      <w:sz w:val="18"/>
      <w:szCs w:val="18"/>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F7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7E76"/>
    <w:rPr>
      <w:rFonts w:ascii="Tahoma" w:hAnsi="Tahoma" w:cs="Tahoma"/>
      <w:sz w:val="16"/>
      <w:szCs w:val="16"/>
    </w:rPr>
  </w:style>
  <w:style w:type="character" w:customStyle="1" w:styleId="Heading8Char">
    <w:name w:val="Heading 8 Char"/>
    <w:basedOn w:val="DefaultParagraphFont"/>
    <w:link w:val="Heading8"/>
    <w:uiPriority w:val="9"/>
    <w:rsid w:val="00AE11AF"/>
    <w:rPr>
      <w:rFonts w:ascii="Times New Roman" w:eastAsia="Times New Roman" w:hAnsi="Times New Roman" w:cs="Times New Roman"/>
      <w:b/>
      <w:bCs/>
      <w:sz w:val="18"/>
      <w:szCs w:val="18"/>
      <w:lang w:val="en-AU" w:eastAsia="en-GB"/>
    </w:rPr>
  </w:style>
  <w:style w:type="paragraph" w:styleId="Revision">
    <w:name w:val="Revision"/>
    <w:hidden/>
    <w:uiPriority w:val="99"/>
    <w:semiHidden/>
    <w:rsid w:val="00AE11AF"/>
    <w:pPr>
      <w:spacing w:after="0" w:line="240" w:lineRule="auto"/>
    </w:pPr>
    <w:rPr>
      <w:rFonts w:ascii="Arial" w:eastAsia="Arial" w:hAnsi="Arial" w:cs="Arial"/>
      <w:lang w:val="en"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unhideWhenUsed/>
    <w:qFormat/>
    <w:rsid w:val="00AE11AF"/>
    <w:pPr>
      <w:keepNext/>
      <w:spacing w:after="0" w:line="240" w:lineRule="auto"/>
      <w:outlineLvl w:val="7"/>
    </w:pPr>
    <w:rPr>
      <w:rFonts w:ascii="Times New Roman" w:eastAsia="Times New Roman" w:hAnsi="Times New Roman" w:cs="Times New Roman"/>
      <w:b/>
      <w:bCs/>
      <w:sz w:val="18"/>
      <w:szCs w:val="18"/>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F7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7E76"/>
    <w:rPr>
      <w:rFonts w:ascii="Tahoma" w:hAnsi="Tahoma" w:cs="Tahoma"/>
      <w:sz w:val="16"/>
      <w:szCs w:val="16"/>
    </w:rPr>
  </w:style>
  <w:style w:type="character" w:customStyle="1" w:styleId="Heading8Char">
    <w:name w:val="Heading 8 Char"/>
    <w:basedOn w:val="DefaultParagraphFont"/>
    <w:link w:val="Heading8"/>
    <w:uiPriority w:val="9"/>
    <w:rsid w:val="00AE11AF"/>
    <w:rPr>
      <w:rFonts w:ascii="Times New Roman" w:eastAsia="Times New Roman" w:hAnsi="Times New Roman" w:cs="Times New Roman"/>
      <w:b/>
      <w:bCs/>
      <w:sz w:val="18"/>
      <w:szCs w:val="18"/>
      <w:lang w:val="en-AU" w:eastAsia="en-GB"/>
    </w:rPr>
  </w:style>
  <w:style w:type="paragraph" w:styleId="Revision">
    <w:name w:val="Revision"/>
    <w:hidden/>
    <w:uiPriority w:val="99"/>
    <w:semiHidden/>
    <w:rsid w:val="00AE11AF"/>
    <w:pPr>
      <w:spacing w:after="0" w:line="240" w:lineRule="auto"/>
    </w:pPr>
    <w:rPr>
      <w:rFonts w:ascii="Arial" w:eastAsia="Arial" w:hAnsi="Arial" w:cs="Arial"/>
      <w:lang w:val="en"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810</Words>
  <Characters>4687</Characters>
  <Application>Microsoft Office Word</Application>
  <DocSecurity>0</DocSecurity>
  <Lines>137</Lines>
  <Paragraphs>41</Paragraphs>
  <ScaleCrop>false</ScaleCrop>
  <Company/>
  <LinksUpToDate>false</LinksUpToDate>
  <CharactersWithSpaces>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DVILLARUBIA</dc:creator>
  <cp:lastModifiedBy>DVILLARUBIA</cp:lastModifiedBy>
  <cp:revision>1</cp:revision>
  <dcterms:created xsi:type="dcterms:W3CDTF">2022-10-19T01:18:00Z</dcterms:created>
  <dcterms:modified xsi:type="dcterms:W3CDTF">2022-10-19T01:19:00Z</dcterms:modified>
</cp:coreProperties>
</file>