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9" w:rsidRPr="00586CCF" w:rsidRDefault="00B46639" w:rsidP="00B46639">
      <w:pPr>
        <w:pStyle w:val="Kop2"/>
        <w:rPr>
          <w:rFonts w:ascii="Times New Roman" w:hAnsi="Times New Roman" w:cs="Times New Roman"/>
          <w:color w:val="auto"/>
          <w:lang w:val="en-GB"/>
        </w:rPr>
      </w:pPr>
      <w:bookmarkStart w:id="0" w:name="_GoBack"/>
      <w:bookmarkEnd w:id="0"/>
      <w:r w:rsidRPr="00586CCF">
        <w:rPr>
          <w:rFonts w:ascii="Times New Roman" w:hAnsi="Times New Roman" w:cs="Times New Roman"/>
          <w:b/>
          <w:color w:val="auto"/>
          <w:lang w:val="en-GB"/>
        </w:rPr>
        <w:t xml:space="preserve">Supplement </w:t>
      </w:r>
      <w:proofErr w:type="gramStart"/>
      <w:r w:rsidRPr="00586CCF">
        <w:rPr>
          <w:rFonts w:ascii="Times New Roman" w:hAnsi="Times New Roman" w:cs="Times New Roman"/>
          <w:b/>
          <w:color w:val="auto"/>
          <w:lang w:val="en-GB"/>
        </w:rPr>
        <w:t>2</w:t>
      </w:r>
      <w:proofErr w:type="gramEnd"/>
      <w:r w:rsidRPr="00586CCF">
        <w:rPr>
          <w:rFonts w:ascii="Times New Roman" w:hAnsi="Times New Roman" w:cs="Times New Roman"/>
          <w:b/>
          <w:color w:val="auto"/>
          <w:lang w:val="en-GB"/>
        </w:rPr>
        <w:t>.</w:t>
      </w:r>
      <w:r w:rsidRPr="00586CCF">
        <w:rPr>
          <w:rFonts w:ascii="Times New Roman" w:hAnsi="Times New Roman" w:cs="Times New Roman"/>
          <w:color w:val="auto"/>
          <w:lang w:val="en-GB"/>
        </w:rPr>
        <w:t xml:space="preserve"> Components of the triage protocol and the two clinical decision rules</w:t>
      </w:r>
    </w:p>
    <w:p w:rsidR="00B46639" w:rsidRPr="00366551" w:rsidRDefault="00B46639" w:rsidP="00B46639">
      <w:pPr>
        <w:rPr>
          <w:lang w:val="en-GB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2977"/>
      </w:tblGrid>
      <w:tr w:rsidR="00B46639" w:rsidTr="00911BEC">
        <w:trPr>
          <w:trHeight w:val="22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07957">
              <w:rPr>
                <w:rFonts w:ascii="Times New Roman" w:hAnsi="Times New Roman" w:cs="Times New Roman"/>
                <w:b/>
                <w:sz w:val="18"/>
              </w:rPr>
              <w:t>Netherlands Triage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07957">
              <w:rPr>
                <w:rFonts w:ascii="Times New Roman" w:hAnsi="Times New Roman" w:cs="Times New Roman"/>
                <w:b/>
                <w:sz w:val="18"/>
              </w:rPr>
              <w:t xml:space="preserve">Marburg </w:t>
            </w:r>
            <w:proofErr w:type="spellStart"/>
            <w:r w:rsidRPr="00907957">
              <w:rPr>
                <w:rFonts w:ascii="Times New Roman" w:hAnsi="Times New Roman" w:cs="Times New Roman"/>
                <w:b/>
                <w:sz w:val="18"/>
              </w:rPr>
              <w:t>Heart</w:t>
            </w:r>
            <w:proofErr w:type="spellEnd"/>
            <w:r w:rsidRPr="00907957">
              <w:rPr>
                <w:rFonts w:ascii="Times New Roman" w:hAnsi="Times New Roman" w:cs="Times New Roman"/>
                <w:b/>
                <w:sz w:val="18"/>
              </w:rPr>
              <w:t xml:space="preserve"> Score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07957">
              <w:rPr>
                <w:rFonts w:ascii="Times New Roman" w:hAnsi="Times New Roman" w:cs="Times New Roman"/>
                <w:b/>
                <w:sz w:val="18"/>
              </w:rPr>
              <w:t>INTERCHEST Score</w:t>
            </w:r>
          </w:p>
        </w:tc>
      </w:tr>
      <w:tr w:rsidR="00B46639" w:rsidRPr="00C030B8" w:rsidTr="00911BEC">
        <w:trPr>
          <w:trHeight w:val="244"/>
        </w:trPr>
        <w:tc>
          <w:tcPr>
            <w:tcW w:w="2547" w:type="dxa"/>
            <w:tcBorders>
              <w:top w:val="single" w:sz="4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r w:rsidRPr="00907957">
              <w:rPr>
                <w:rFonts w:ascii="Times New Roman" w:hAnsi="Times New Roman" w:cs="Times New Roman"/>
                <w:sz w:val="18"/>
              </w:rPr>
              <w:t xml:space="preserve">Check of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vital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signs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 xml:space="preserve">Age/sex 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F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907957">
              <w:rPr>
                <w:rFonts w:ascii="Trebuchet MS" w:hAnsi="Trebuchet MS" w:cs="Times New Roman"/>
                <w:sz w:val="18"/>
                <w:lang w:val="en-GB"/>
              </w:rPr>
              <w:t>≥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 xml:space="preserve">65 years,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M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907957">
              <w:rPr>
                <w:rFonts w:ascii="Trebuchet MS" w:hAnsi="Trebuchet MS" w:cs="Times New Roman"/>
                <w:sz w:val="18"/>
                <w:lang w:val="en-GB"/>
              </w:rPr>
              <w:t>≥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>55 years)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 xml:space="preserve">Age/sex 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F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907957">
              <w:rPr>
                <w:rFonts w:ascii="Trebuchet MS" w:hAnsi="Trebuchet MS" w:cs="Times New Roman"/>
                <w:sz w:val="18"/>
                <w:lang w:val="en-GB"/>
              </w:rPr>
              <w:t>≥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 xml:space="preserve">65 years,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M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907957">
              <w:rPr>
                <w:rFonts w:ascii="Trebuchet MS" w:hAnsi="Trebuchet MS" w:cs="Times New Roman"/>
                <w:sz w:val="18"/>
                <w:lang w:val="en-GB"/>
              </w:rPr>
              <w:t>≥</w:t>
            </w:r>
            <w:r w:rsidRPr="00907957">
              <w:rPr>
                <w:rFonts w:ascii="Times New Roman" w:hAnsi="Times New Roman" w:cs="Times New Roman"/>
                <w:sz w:val="18"/>
                <w:lang w:val="en-GB"/>
              </w:rPr>
              <w:t>55 years)</w:t>
            </w:r>
          </w:p>
        </w:tc>
      </w:tr>
      <w:tr w:rsidR="00B46639" w:rsidRPr="00907957" w:rsidTr="00911BEC">
        <w:trPr>
          <w:trHeight w:val="244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r w:rsidRPr="00907957">
              <w:rPr>
                <w:rFonts w:ascii="Times New Roman" w:hAnsi="Times New Roman" w:cs="Times New Roman"/>
                <w:sz w:val="18"/>
              </w:rPr>
              <w:t xml:space="preserve">Type of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pain</w:t>
            </w:r>
            <w:proofErr w:type="spellEnd"/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4251A0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Known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CVD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4251A0" w:rsidRDefault="00B46639" w:rsidP="00911BEC">
            <w:pPr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 xml:space="preserve">History of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†</w:t>
            </w:r>
          </w:p>
        </w:tc>
      </w:tr>
      <w:tr w:rsidR="00B46639" w:rsidRPr="00C030B8" w:rsidTr="00911BEC">
        <w:trPr>
          <w:trHeight w:val="244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Duration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pain</w:t>
            </w:r>
            <w:proofErr w:type="spellEnd"/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Pain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worse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exercise</w:t>
            </w:r>
            <w:proofErr w:type="spellEnd"/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>Chest pain related to effort</w:t>
            </w:r>
          </w:p>
        </w:tc>
      </w:tr>
      <w:tr w:rsidR="00B46639" w:rsidRPr="00907957" w:rsidTr="00911BEC">
        <w:trPr>
          <w:trHeight w:val="227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Severity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>Pain not reproducible by palpation</w:t>
            </w: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>Pain reproducible by palpation</w:t>
            </w:r>
          </w:p>
        </w:tc>
      </w:tr>
      <w:tr w:rsidR="00B46639" w:rsidRPr="00C030B8" w:rsidTr="00911BEC">
        <w:trPr>
          <w:trHeight w:val="222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r w:rsidRPr="00907957">
              <w:rPr>
                <w:rFonts w:ascii="Times New Roman" w:hAnsi="Times New Roman" w:cs="Times New Roman"/>
                <w:sz w:val="18"/>
              </w:rPr>
              <w:t xml:space="preserve">Course of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pain</w:t>
            </w:r>
            <w:proofErr w:type="spellEnd"/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>Patient assumes pain is of cardiac origin</w:t>
            </w:r>
          </w:p>
        </w:tc>
        <w:tc>
          <w:tcPr>
            <w:tcW w:w="2977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1E06F2" w:rsidRDefault="00B46639" w:rsidP="00911BEC">
            <w:pPr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Triage assistant</w:t>
            </w: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suspects</w:t>
            </w: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 xml:space="preserve"> serious condition</w:t>
            </w:r>
            <w:r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‡</w:t>
            </w:r>
          </w:p>
        </w:tc>
      </w:tr>
      <w:tr w:rsidR="00B46639" w:rsidRPr="00907957" w:rsidTr="00911BEC">
        <w:trPr>
          <w:trHeight w:val="244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Location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on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chest</w:t>
            </w:r>
            <w:proofErr w:type="spellEnd"/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B46639" w:rsidRPr="00C030B8" w:rsidTr="00911BEC">
        <w:trPr>
          <w:trHeight w:val="244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Radiation</w:t>
            </w:r>
            <w:proofErr w:type="spellEnd"/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B46639" w:rsidRPr="001E06F2" w:rsidRDefault="00B46639" w:rsidP="00911BE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907957">
              <w:rPr>
                <w:rFonts w:ascii="Times New Roman" w:hAnsi="Times New Roman" w:cs="Times New Roman"/>
                <w:sz w:val="18"/>
                <w:lang w:val="en-US"/>
              </w:rPr>
              <w:t>Chest pain feels like “pressure”</w:t>
            </w:r>
          </w:p>
        </w:tc>
      </w:tr>
      <w:tr w:rsidR="00B46639" w:rsidTr="00911BEC">
        <w:trPr>
          <w:trHeight w:val="227"/>
        </w:trPr>
        <w:tc>
          <w:tcPr>
            <w:tcW w:w="2547" w:type="dxa"/>
            <w:tcBorders>
              <w:top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Associated</w:t>
            </w:r>
            <w:proofErr w:type="spellEnd"/>
            <w:r w:rsidRPr="0090795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07957">
              <w:rPr>
                <w:rFonts w:ascii="Times New Roman" w:hAnsi="Times New Roman" w:cs="Times New Roman"/>
                <w:sz w:val="18"/>
              </w:rPr>
              <w:t>symptoms</w:t>
            </w:r>
            <w:proofErr w:type="spellEnd"/>
          </w:p>
        </w:tc>
        <w:tc>
          <w:tcPr>
            <w:tcW w:w="31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</w:tcBorders>
          </w:tcPr>
          <w:p w:rsidR="00B46639" w:rsidRPr="00907957" w:rsidRDefault="00B46639" w:rsidP="00911BE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46639" w:rsidTr="00911BEC">
        <w:trPr>
          <w:trHeight w:val="22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4A24C6" w:rsidRDefault="00B46639" w:rsidP="00911BEC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A24C6">
              <w:rPr>
                <w:rFonts w:ascii="Times New Roman" w:hAnsi="Times New Roman" w:cs="Times New Roman"/>
                <w:i/>
                <w:sz w:val="18"/>
              </w:rPr>
              <w:t>Range: U1 – U5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level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9" w:rsidRPr="004A24C6" w:rsidRDefault="00B46639" w:rsidP="00911BEC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A24C6">
              <w:rPr>
                <w:rFonts w:ascii="Times New Roman" w:hAnsi="Times New Roman" w:cs="Times New Roman"/>
                <w:i/>
                <w:sz w:val="18"/>
              </w:rPr>
              <w:t xml:space="preserve">Range: 0 – 5 </w:t>
            </w:r>
            <w:r>
              <w:rPr>
                <w:rFonts w:ascii="Times New Roman" w:hAnsi="Times New Roman" w:cs="Times New Roman"/>
                <w:i/>
                <w:sz w:val="18"/>
              </w:rPr>
              <w:t>points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39" w:rsidRPr="004A24C6" w:rsidRDefault="00B46639" w:rsidP="00911BEC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A24C6">
              <w:rPr>
                <w:rFonts w:ascii="Times New Roman" w:hAnsi="Times New Roman" w:cs="Times New Roman"/>
                <w:i/>
                <w:sz w:val="18"/>
              </w:rPr>
              <w:t xml:space="preserve">Range: -1 – 5 </w:t>
            </w:r>
            <w:r>
              <w:rPr>
                <w:rFonts w:ascii="Times New Roman" w:hAnsi="Times New Roman" w:cs="Times New Roman"/>
                <w:i/>
                <w:sz w:val="18"/>
              </w:rPr>
              <w:t>points</w:t>
            </w:r>
          </w:p>
        </w:tc>
      </w:tr>
    </w:tbl>
    <w:p w:rsidR="00B46639" w:rsidRDefault="00B46639" w:rsidP="00B46639">
      <w:pPr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i/>
          <w:sz w:val="16"/>
          <w:lang w:val="en-GB"/>
        </w:rPr>
        <w:t xml:space="preserve">Supplement </w:t>
      </w:r>
      <w:proofErr w:type="gramStart"/>
      <w:r>
        <w:rPr>
          <w:rFonts w:ascii="Times New Roman" w:hAnsi="Times New Roman" w:cs="Times New Roman"/>
          <w:i/>
          <w:sz w:val="16"/>
          <w:lang w:val="en-GB"/>
        </w:rPr>
        <w:t>2</w:t>
      </w:r>
      <w:proofErr w:type="gramEnd"/>
      <w:r>
        <w:rPr>
          <w:rFonts w:ascii="Times New Roman" w:hAnsi="Times New Roman" w:cs="Times New Roman"/>
          <w:i/>
          <w:sz w:val="16"/>
          <w:lang w:val="en-GB"/>
        </w:rPr>
        <w:t xml:space="preserve">. Table with the components of the triage protocol and the two clinical decision rules. </w:t>
      </w:r>
      <w:r>
        <w:rPr>
          <w:rFonts w:ascii="Times New Roman" w:hAnsi="Times New Roman" w:cs="Times New Roman"/>
          <w:sz w:val="16"/>
          <w:lang w:val="en-GB"/>
        </w:rPr>
        <w:br/>
      </w:r>
      <w:r>
        <w:rPr>
          <w:rFonts w:ascii="Times New Roman" w:hAnsi="Times New Roman" w:cs="Times New Roman"/>
          <w:i/>
          <w:sz w:val="16"/>
          <w:lang w:val="en-US"/>
        </w:rPr>
        <w:t>Abbreviations:</w:t>
      </w:r>
      <w:r>
        <w:rPr>
          <w:rFonts w:ascii="Times New Roman" w:hAnsi="Times New Roman" w:cs="Times New Roman"/>
          <w:sz w:val="16"/>
          <w:lang w:val="en-US"/>
        </w:rPr>
        <w:t xml:space="preserve"> F = female, M = male, CVD = clinical vascular disease, CAD = coronary artery disease</w:t>
      </w:r>
      <w:r>
        <w:rPr>
          <w:rFonts w:ascii="Times New Roman" w:hAnsi="Times New Roman" w:cs="Times New Roman"/>
          <w:i/>
          <w:sz w:val="16"/>
          <w:lang w:val="en-GB"/>
        </w:rPr>
        <w:br/>
        <w:t>Notes:</w:t>
      </w:r>
      <w:r>
        <w:rPr>
          <w:rFonts w:ascii="Times New Roman" w:hAnsi="Times New Roman" w:cs="Times New Roman"/>
          <w:sz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vertAlign w:val="superscript"/>
          <w:lang w:val="en-GB"/>
        </w:rPr>
        <w:t xml:space="preserve">* </w:t>
      </w:r>
      <w:r>
        <w:rPr>
          <w:rFonts w:ascii="Times New Roman" w:hAnsi="Times New Roman" w:cs="Times New Roman"/>
          <w:sz w:val="16"/>
          <w:lang w:val="en-GB"/>
        </w:rPr>
        <w:t xml:space="preserve">History of  </w:t>
      </w:r>
      <w:r w:rsidRPr="004251A0">
        <w:rPr>
          <w:rFonts w:ascii="Times New Roman" w:hAnsi="Times New Roman" w:cs="Times New Roman"/>
          <w:sz w:val="16"/>
          <w:lang w:val="en-US"/>
        </w:rPr>
        <w:t>myocardial infarction, transient ischemic attack, cerebrovascular accident, peripheral artery disease, previous percutaneous coronary intervention or coronary artery bypass graft.</w:t>
      </w:r>
      <w:r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vertAlign w:val="superscript"/>
          <w:lang w:val="en-US"/>
        </w:rPr>
        <w:t>†</w:t>
      </w:r>
      <w:r w:rsidRPr="004251A0">
        <w:rPr>
          <w:sz w:val="18"/>
          <w:szCs w:val="18"/>
          <w:lang w:val="en-US"/>
        </w:rPr>
        <w:t xml:space="preserve"> </w:t>
      </w:r>
      <w:r w:rsidRPr="004251A0">
        <w:rPr>
          <w:rFonts w:ascii="Times New Roman" w:hAnsi="Times New Roman" w:cs="Times New Roman"/>
          <w:sz w:val="16"/>
          <w:szCs w:val="18"/>
          <w:lang w:val="en-US"/>
        </w:rPr>
        <w:t>History of</w:t>
      </w:r>
      <w:r w:rsidRPr="004251A0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4251A0">
        <w:rPr>
          <w:rFonts w:ascii="Times New Roman" w:hAnsi="Times New Roman" w:cs="Times New Roman"/>
          <w:sz w:val="16"/>
          <w:lang w:val="en-US"/>
        </w:rPr>
        <w:t>myocardial infarction, previous percutaneous coronary intervention or coronary artery bypass graft.</w:t>
      </w:r>
      <w:r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vertAlign w:val="superscript"/>
          <w:lang w:val="en-US"/>
        </w:rPr>
        <w:t>‡</w:t>
      </w:r>
      <w:r>
        <w:rPr>
          <w:rFonts w:ascii="Times New Roman" w:hAnsi="Times New Roman" w:cs="Times New Roman"/>
          <w:sz w:val="16"/>
          <w:lang w:val="en-US"/>
        </w:rPr>
        <w:t xml:space="preserve"> In order to evaluate the INTERCHEST score in a triage setting, we replaced the physician’s suspicion of a serious condition with that of the triage assistant. The component ‘suspicion’ was based on the triage assistants reaction based on their first impression or ‘gut feeling’. For instance, this item </w:t>
      </w:r>
      <w:proofErr w:type="gramStart"/>
      <w:r>
        <w:rPr>
          <w:rFonts w:ascii="Times New Roman" w:hAnsi="Times New Roman" w:cs="Times New Roman"/>
          <w:sz w:val="16"/>
          <w:lang w:val="en-US"/>
        </w:rPr>
        <w:t>was considered</w:t>
      </w:r>
      <w:proofErr w:type="gramEnd"/>
      <w:r>
        <w:rPr>
          <w:rFonts w:ascii="Times New Roman" w:hAnsi="Times New Roman" w:cs="Times New Roman"/>
          <w:sz w:val="16"/>
          <w:lang w:val="en-US"/>
        </w:rPr>
        <w:t xml:space="preserve"> present when patients received immediate ambulance activation, when triage assistants explicitly noted their concern or when assistants discussed the case with the attending GP due to doubt. </w:t>
      </w:r>
    </w:p>
    <w:p w:rsidR="002F1159" w:rsidRPr="00B46639" w:rsidRDefault="00B46639">
      <w:pPr>
        <w:rPr>
          <w:lang w:val="en-US"/>
        </w:rPr>
      </w:pPr>
    </w:p>
    <w:sectPr w:rsidR="002F1159" w:rsidRPr="00B4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9"/>
    <w:rsid w:val="005E2BC3"/>
    <w:rsid w:val="00B46639"/>
    <w:rsid w:val="00D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500B"/>
  <w15:chartTrackingRefBased/>
  <w15:docId w15:val="{1D2D4785-ABF7-4E22-9A4E-30922F6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663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6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46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B4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>AMC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Manten, A. (Amy)</dc:creator>
  <cp:keywords/>
  <dc:description/>
  <cp:lastModifiedBy>Manten, A. (Amy)</cp:lastModifiedBy>
  <cp:revision>1</cp:revision>
  <dcterms:created xsi:type="dcterms:W3CDTF">2021-12-28T15:46:00Z</dcterms:created>
  <dcterms:modified xsi:type="dcterms:W3CDTF">2021-12-28T15:46:00Z</dcterms:modified>
</cp:coreProperties>
</file>