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FA8B" w14:textId="4BA96E49" w:rsidR="00BF2556" w:rsidRDefault="00D27D4D" w:rsidP="007735D1">
      <w:pPr>
        <w:spacing w:after="0" w:line="360" w:lineRule="auto"/>
        <w:jc w:val="both"/>
        <w:rPr>
          <w:rFonts w:ascii="Times New Roman" w:hAnsi="Times New Roman" w:cs="Times New Roman"/>
          <w:lang w:val="en-US"/>
        </w:rPr>
      </w:pPr>
      <w:r>
        <w:rPr>
          <w:rFonts w:ascii="Times New Roman" w:hAnsi="Times New Roman" w:cs="Times New Roman"/>
          <w:b/>
          <w:bCs/>
          <w:lang w:val="en-US"/>
        </w:rPr>
        <w:t>Table S3</w:t>
      </w:r>
      <w:r w:rsidRPr="00D27D4D">
        <w:rPr>
          <w:rFonts w:ascii="Times New Roman" w:hAnsi="Times New Roman" w:cs="Times New Roman"/>
          <w:lang w:val="en-US"/>
        </w:rPr>
        <w:t xml:space="preserve"> </w:t>
      </w:r>
      <w:r w:rsidR="001F513C" w:rsidRPr="00D27D4D">
        <w:rPr>
          <w:rFonts w:ascii="Times New Roman" w:hAnsi="Times New Roman" w:cs="Times New Roman"/>
          <w:lang w:val="en-US"/>
        </w:rPr>
        <w:t xml:space="preserve">Extensive </w:t>
      </w:r>
      <w:r w:rsidR="009764D5" w:rsidRPr="00D27D4D">
        <w:rPr>
          <w:rFonts w:ascii="Times New Roman" w:hAnsi="Times New Roman" w:cs="Times New Roman"/>
          <w:lang w:val="en-US"/>
        </w:rPr>
        <w:t>d</w:t>
      </w:r>
      <w:r w:rsidR="001F513C" w:rsidRPr="00D27D4D">
        <w:rPr>
          <w:rFonts w:ascii="Times New Roman" w:hAnsi="Times New Roman" w:cs="Times New Roman"/>
          <w:lang w:val="en-US"/>
        </w:rPr>
        <w:t>escription of themes</w:t>
      </w:r>
    </w:p>
    <w:p w14:paraId="3DF8BDE3" w14:textId="5B2BDECD" w:rsidR="00903883" w:rsidRDefault="00903883" w:rsidP="007735D1">
      <w:pPr>
        <w:spacing w:after="0" w:line="360" w:lineRule="auto"/>
        <w:jc w:val="both"/>
        <w:rPr>
          <w:rFonts w:ascii="Times New Roman" w:hAnsi="Times New Roman" w:cs="Times New Roman"/>
          <w:b/>
          <w:bCs/>
          <w:lang w:val="en-US"/>
        </w:rPr>
      </w:pPr>
    </w:p>
    <w:tbl>
      <w:tblPr>
        <w:tblStyle w:val="Tabelraster"/>
        <w:tblW w:w="0" w:type="auto"/>
        <w:tblLook w:val="04A0" w:firstRow="1" w:lastRow="0" w:firstColumn="1" w:lastColumn="0" w:noHBand="0" w:noVBand="1"/>
      </w:tblPr>
      <w:tblGrid>
        <w:gridCol w:w="9062"/>
      </w:tblGrid>
      <w:tr w:rsidR="007735D1" w14:paraId="42E98363" w14:textId="77777777" w:rsidTr="007735D1">
        <w:tc>
          <w:tcPr>
            <w:tcW w:w="9062" w:type="dxa"/>
          </w:tcPr>
          <w:p w14:paraId="51CF9F90" w14:textId="77777777" w:rsidR="007735D1" w:rsidRPr="00455244" w:rsidRDefault="007735D1" w:rsidP="007735D1">
            <w:pPr>
              <w:spacing w:line="360" w:lineRule="auto"/>
              <w:jc w:val="both"/>
              <w:rPr>
                <w:rFonts w:ascii="Times New Roman" w:hAnsi="Times New Roman"/>
                <w:b/>
                <w:bCs/>
                <w:sz w:val="20"/>
                <w:szCs w:val="20"/>
                <w:lang w:val="en-GB"/>
              </w:rPr>
            </w:pPr>
            <w:r w:rsidRPr="00455244">
              <w:rPr>
                <w:rFonts w:ascii="Times New Roman" w:hAnsi="Times New Roman"/>
                <w:b/>
                <w:bCs/>
                <w:sz w:val="20"/>
                <w:szCs w:val="20"/>
                <w:lang w:val="en-GB"/>
              </w:rPr>
              <w:t xml:space="preserve">Education </w:t>
            </w:r>
          </w:p>
          <w:p w14:paraId="252938F2" w14:textId="77777777" w:rsidR="007735D1"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 xml:space="preserve">The importance of education for </w:t>
            </w:r>
            <w:r>
              <w:rPr>
                <w:rFonts w:ascii="Times New Roman" w:hAnsi="Times New Roman"/>
                <w:sz w:val="20"/>
                <w:szCs w:val="20"/>
                <w:lang w:val="en-GB"/>
              </w:rPr>
              <w:t>primary care (</w:t>
            </w:r>
            <w:r w:rsidRPr="00455244">
              <w:rPr>
                <w:rFonts w:ascii="Times New Roman" w:hAnsi="Times New Roman"/>
                <w:sz w:val="20"/>
                <w:szCs w:val="20"/>
                <w:lang w:val="en-GB"/>
              </w:rPr>
              <w:t>PC</w:t>
            </w:r>
            <w:r>
              <w:rPr>
                <w:rFonts w:ascii="Times New Roman" w:hAnsi="Times New Roman"/>
                <w:sz w:val="20"/>
                <w:szCs w:val="20"/>
                <w:lang w:val="en-GB"/>
              </w:rPr>
              <w:t>)</w:t>
            </w:r>
            <w:r w:rsidRPr="00455244">
              <w:rPr>
                <w:rFonts w:ascii="Times New Roman" w:hAnsi="Times New Roman"/>
                <w:sz w:val="20"/>
                <w:szCs w:val="20"/>
                <w:lang w:val="en-GB"/>
              </w:rPr>
              <w:t xml:space="preserve"> was frequently emphasized by participants. It was considered essential for treatment of </w:t>
            </w:r>
            <w:r>
              <w:rPr>
                <w:rFonts w:ascii="Times New Roman" w:hAnsi="Times New Roman"/>
                <w:sz w:val="20"/>
                <w:szCs w:val="20"/>
                <w:lang w:val="en-GB"/>
              </w:rPr>
              <w:t>chronic heart failure (</w:t>
            </w:r>
            <w:r w:rsidRPr="00455244">
              <w:rPr>
                <w:rFonts w:ascii="Times New Roman" w:hAnsi="Times New Roman"/>
                <w:sz w:val="20"/>
                <w:szCs w:val="20"/>
                <w:lang w:val="en-GB"/>
              </w:rPr>
              <w:t>CHF</w:t>
            </w:r>
            <w:r>
              <w:rPr>
                <w:rFonts w:ascii="Times New Roman" w:hAnsi="Times New Roman"/>
                <w:sz w:val="20"/>
                <w:szCs w:val="20"/>
                <w:lang w:val="en-GB"/>
              </w:rPr>
              <w:t>)</w:t>
            </w:r>
            <w:r w:rsidRPr="00455244">
              <w:rPr>
                <w:rFonts w:ascii="Times New Roman" w:hAnsi="Times New Roman"/>
                <w:sz w:val="20"/>
                <w:szCs w:val="20"/>
                <w:lang w:val="en-GB"/>
              </w:rPr>
              <w:t xml:space="preserve"> in PC and often the first action </w:t>
            </w:r>
            <w:r>
              <w:rPr>
                <w:rFonts w:ascii="Times New Roman" w:hAnsi="Times New Roman"/>
                <w:sz w:val="20"/>
                <w:szCs w:val="20"/>
                <w:lang w:val="en-GB"/>
              </w:rPr>
              <w:t xml:space="preserve">that </w:t>
            </w:r>
            <w:r w:rsidRPr="00455244">
              <w:rPr>
                <w:rFonts w:ascii="Times New Roman" w:hAnsi="Times New Roman"/>
                <w:sz w:val="20"/>
                <w:szCs w:val="20"/>
                <w:lang w:val="en-GB"/>
              </w:rPr>
              <w:t xml:space="preserve">regions started after the development of the </w:t>
            </w:r>
            <w:r>
              <w:rPr>
                <w:rFonts w:ascii="Times New Roman" w:hAnsi="Times New Roman"/>
                <w:sz w:val="20"/>
                <w:szCs w:val="20"/>
                <w:lang w:val="en-GB"/>
              </w:rPr>
              <w:t>Regional Transmural Agreements (</w:t>
            </w:r>
            <w:r w:rsidRPr="00455244">
              <w:rPr>
                <w:rFonts w:ascii="Times New Roman" w:hAnsi="Times New Roman"/>
                <w:sz w:val="20"/>
                <w:szCs w:val="20"/>
                <w:lang w:val="en-GB"/>
              </w:rPr>
              <w:t>RTA</w:t>
            </w:r>
            <w:r>
              <w:rPr>
                <w:rFonts w:ascii="Times New Roman" w:hAnsi="Times New Roman"/>
                <w:sz w:val="20"/>
                <w:szCs w:val="20"/>
                <w:lang w:val="en-GB"/>
              </w:rPr>
              <w:t>). While no exact number of participation rates were mentioned, participants from several regions indicated that approximately half of all PC providers in their region followed additional education on CHF. Most p</w:t>
            </w:r>
            <w:r w:rsidRPr="00455244">
              <w:rPr>
                <w:rFonts w:ascii="Times New Roman" w:hAnsi="Times New Roman"/>
                <w:sz w:val="20"/>
                <w:szCs w:val="20"/>
                <w:lang w:val="en-GB"/>
              </w:rPr>
              <w:t>articipants reported that CHF is perceived as complicated to treat and that knowledge and awareness</w:t>
            </w:r>
            <w:r>
              <w:rPr>
                <w:rFonts w:ascii="Times New Roman" w:hAnsi="Times New Roman"/>
                <w:sz w:val="20"/>
                <w:szCs w:val="20"/>
                <w:lang w:val="en-GB"/>
              </w:rPr>
              <w:t xml:space="preserve"> </w:t>
            </w:r>
            <w:r w:rsidRPr="00455244">
              <w:rPr>
                <w:rFonts w:ascii="Times New Roman" w:hAnsi="Times New Roman"/>
                <w:sz w:val="20"/>
                <w:szCs w:val="20"/>
                <w:lang w:val="en-GB"/>
              </w:rPr>
              <w:t xml:space="preserve">of CHF varies </w:t>
            </w:r>
            <w:r>
              <w:rPr>
                <w:rFonts w:ascii="Times New Roman" w:hAnsi="Times New Roman"/>
                <w:sz w:val="20"/>
                <w:szCs w:val="20"/>
                <w:lang w:val="en-GB"/>
              </w:rPr>
              <w:t>among</w:t>
            </w:r>
            <w:r w:rsidRPr="00455244">
              <w:rPr>
                <w:rFonts w:ascii="Times New Roman" w:hAnsi="Times New Roman"/>
                <w:sz w:val="20"/>
                <w:szCs w:val="20"/>
                <w:lang w:val="en-GB"/>
              </w:rPr>
              <w:t xml:space="preserve"> PC</w:t>
            </w:r>
            <w:r>
              <w:rPr>
                <w:rFonts w:ascii="Times New Roman" w:hAnsi="Times New Roman"/>
                <w:sz w:val="20"/>
                <w:szCs w:val="20"/>
                <w:lang w:val="en-GB"/>
              </w:rPr>
              <w:t xml:space="preserve"> providers</w:t>
            </w:r>
            <w:r w:rsidRPr="00455244">
              <w:rPr>
                <w:rFonts w:ascii="Times New Roman" w:hAnsi="Times New Roman"/>
                <w:sz w:val="20"/>
                <w:szCs w:val="20"/>
                <w:lang w:val="en-GB"/>
              </w:rPr>
              <w:t>.</w:t>
            </w:r>
            <w:r>
              <w:rPr>
                <w:rFonts w:ascii="Times New Roman" w:hAnsi="Times New Roman"/>
                <w:sz w:val="20"/>
                <w:szCs w:val="20"/>
                <w:lang w:val="en-GB"/>
              </w:rPr>
              <w:t xml:space="preserve"> Simultaneously, knowledge of the pathophysiology of CHF and awareness of CHF among PC providers were mentioned as important preconditions to deliver the care according to the </w:t>
            </w:r>
            <w:proofErr w:type="spellStart"/>
            <w:r>
              <w:rPr>
                <w:rFonts w:ascii="Times New Roman" w:hAnsi="Times New Roman"/>
                <w:sz w:val="20"/>
                <w:szCs w:val="20"/>
                <w:lang w:val="en-GB"/>
              </w:rPr>
              <w:t>NTA</w:t>
            </w:r>
            <w:proofErr w:type="spellEnd"/>
            <w:r>
              <w:rPr>
                <w:rFonts w:ascii="Times New Roman" w:hAnsi="Times New Roman"/>
                <w:sz w:val="20"/>
                <w:szCs w:val="20"/>
                <w:lang w:val="en-GB"/>
              </w:rPr>
              <w:t xml:space="preserve"> and guidelines. An important reason for a lack of awareness and experience was</w:t>
            </w:r>
            <w:r w:rsidRPr="00455244">
              <w:rPr>
                <w:rFonts w:ascii="Times New Roman" w:hAnsi="Times New Roman"/>
                <w:sz w:val="20"/>
                <w:szCs w:val="20"/>
                <w:lang w:val="en-GB"/>
              </w:rPr>
              <w:t xml:space="preserve"> the number of </w:t>
            </w:r>
            <w:r>
              <w:rPr>
                <w:rFonts w:ascii="Times New Roman" w:hAnsi="Times New Roman"/>
                <w:sz w:val="20"/>
                <w:szCs w:val="20"/>
                <w:lang w:val="en-GB"/>
              </w:rPr>
              <w:t xml:space="preserve">CHF </w:t>
            </w:r>
            <w:r w:rsidRPr="00455244">
              <w:rPr>
                <w:rFonts w:ascii="Times New Roman" w:hAnsi="Times New Roman"/>
                <w:sz w:val="20"/>
                <w:szCs w:val="20"/>
                <w:lang w:val="en-GB"/>
              </w:rPr>
              <w:t>patients per PC clinic</w:t>
            </w:r>
            <w:r>
              <w:rPr>
                <w:rFonts w:ascii="Times New Roman" w:hAnsi="Times New Roman"/>
                <w:sz w:val="20"/>
                <w:szCs w:val="20"/>
                <w:lang w:val="en-GB"/>
              </w:rPr>
              <w:t>,</w:t>
            </w:r>
            <w:r w:rsidRPr="00455244">
              <w:rPr>
                <w:rFonts w:ascii="Times New Roman" w:hAnsi="Times New Roman"/>
                <w:sz w:val="20"/>
                <w:szCs w:val="20"/>
                <w:lang w:val="en-GB"/>
              </w:rPr>
              <w:t xml:space="preserve"> </w:t>
            </w:r>
            <w:r>
              <w:rPr>
                <w:rFonts w:ascii="Times New Roman" w:hAnsi="Times New Roman"/>
                <w:sz w:val="20"/>
                <w:szCs w:val="20"/>
                <w:lang w:val="en-GB"/>
              </w:rPr>
              <w:t xml:space="preserve">which </w:t>
            </w:r>
            <w:r w:rsidRPr="00455244">
              <w:rPr>
                <w:rFonts w:ascii="Times New Roman" w:hAnsi="Times New Roman"/>
                <w:sz w:val="20"/>
                <w:szCs w:val="20"/>
                <w:lang w:val="en-GB"/>
              </w:rPr>
              <w:t xml:space="preserve">was </w:t>
            </w:r>
            <w:r>
              <w:rPr>
                <w:rFonts w:ascii="Times New Roman" w:hAnsi="Times New Roman"/>
                <w:sz w:val="20"/>
                <w:szCs w:val="20"/>
                <w:lang w:val="en-GB"/>
              </w:rPr>
              <w:t xml:space="preserve">often limited to approximately 10 to 15 patients. This limited number of CHF patients per PC clinic was also considered </w:t>
            </w:r>
            <w:r w:rsidRPr="00455244">
              <w:rPr>
                <w:rFonts w:ascii="Times New Roman" w:hAnsi="Times New Roman"/>
                <w:sz w:val="20"/>
                <w:szCs w:val="20"/>
                <w:lang w:val="en-GB"/>
              </w:rPr>
              <w:t>a</w:t>
            </w:r>
            <w:r>
              <w:rPr>
                <w:rFonts w:ascii="Times New Roman" w:hAnsi="Times New Roman"/>
                <w:sz w:val="20"/>
                <w:szCs w:val="20"/>
                <w:lang w:val="en-GB"/>
              </w:rPr>
              <w:t xml:space="preserve">n important </w:t>
            </w:r>
            <w:r w:rsidRPr="00455244">
              <w:rPr>
                <w:rFonts w:ascii="Times New Roman" w:hAnsi="Times New Roman"/>
                <w:sz w:val="20"/>
                <w:szCs w:val="20"/>
                <w:lang w:val="en-GB"/>
              </w:rPr>
              <w:t xml:space="preserve">barrier </w:t>
            </w:r>
            <w:r>
              <w:rPr>
                <w:rFonts w:ascii="Times New Roman" w:hAnsi="Times New Roman"/>
                <w:sz w:val="20"/>
                <w:szCs w:val="20"/>
                <w:lang w:val="en-GB"/>
              </w:rPr>
              <w:t xml:space="preserve">for PC providers </w:t>
            </w:r>
            <w:r w:rsidRPr="00455244">
              <w:rPr>
                <w:rFonts w:ascii="Times New Roman" w:hAnsi="Times New Roman"/>
                <w:sz w:val="20"/>
                <w:szCs w:val="20"/>
                <w:lang w:val="en-GB"/>
              </w:rPr>
              <w:t xml:space="preserve">to follow additional education. </w:t>
            </w:r>
          </w:p>
          <w:p w14:paraId="397A6964" w14:textId="77777777" w:rsidR="007735D1" w:rsidRDefault="007735D1" w:rsidP="007735D1">
            <w:pPr>
              <w:spacing w:line="360" w:lineRule="auto"/>
              <w:jc w:val="both"/>
              <w:rPr>
                <w:rFonts w:ascii="Times New Roman" w:hAnsi="Times New Roman"/>
                <w:sz w:val="20"/>
                <w:szCs w:val="20"/>
                <w:lang w:val="en-GB"/>
              </w:rPr>
            </w:pPr>
            <w:r>
              <w:rPr>
                <w:rFonts w:ascii="Times New Roman" w:hAnsi="Times New Roman"/>
                <w:sz w:val="20"/>
                <w:szCs w:val="20"/>
                <w:lang w:val="en-GB"/>
              </w:rPr>
              <w:t>Education for PC providers was primarily aimed at refreshing and expanding knowledge concerning the pathophysiology of CHF and increasing awareness. In addition, many regions had secondary aims with educational sessions such as informing</w:t>
            </w:r>
            <w:r w:rsidRPr="00455244">
              <w:rPr>
                <w:rFonts w:ascii="Times New Roman" w:hAnsi="Times New Roman"/>
                <w:sz w:val="20"/>
                <w:szCs w:val="20"/>
                <w:lang w:val="en-GB"/>
              </w:rPr>
              <w:t xml:space="preserve"> </w:t>
            </w:r>
            <w:r>
              <w:rPr>
                <w:rFonts w:ascii="Times New Roman" w:hAnsi="Times New Roman"/>
                <w:sz w:val="20"/>
                <w:szCs w:val="20"/>
                <w:lang w:val="en-GB"/>
              </w:rPr>
              <w:t xml:space="preserve">PC providers </w:t>
            </w:r>
            <w:r w:rsidRPr="00455244">
              <w:rPr>
                <w:rFonts w:ascii="Times New Roman" w:hAnsi="Times New Roman"/>
                <w:sz w:val="20"/>
                <w:szCs w:val="20"/>
                <w:lang w:val="en-GB"/>
              </w:rPr>
              <w:t>on care pathways, consultation abilities, and changes due to the RTA.</w:t>
            </w:r>
            <w:r>
              <w:rPr>
                <w:rFonts w:ascii="Times New Roman" w:hAnsi="Times New Roman"/>
                <w:sz w:val="20"/>
                <w:szCs w:val="20"/>
                <w:lang w:val="en-GB"/>
              </w:rPr>
              <w:t xml:space="preserve"> Several cardiologists remarked that they actual had noticed the effect of education on the questions that PC providers asked and improved information collection and sharing. This resulted in more effective consultations by decreasing the number of diagnostic requests e.g. a consultation without reporting the brain natriuretic peptide levels. </w:t>
            </w:r>
            <w:r w:rsidRPr="00455244">
              <w:rPr>
                <w:rFonts w:ascii="Times New Roman" w:hAnsi="Times New Roman"/>
                <w:sz w:val="20"/>
                <w:szCs w:val="20"/>
                <w:lang w:val="en-GB"/>
              </w:rPr>
              <w:t xml:space="preserve">Most participants mentioned the importance of </w:t>
            </w:r>
            <w:r>
              <w:rPr>
                <w:rFonts w:ascii="Times New Roman" w:hAnsi="Times New Roman"/>
                <w:sz w:val="20"/>
                <w:szCs w:val="20"/>
                <w:lang w:val="en-GB"/>
              </w:rPr>
              <w:t>easy</w:t>
            </w:r>
            <w:r w:rsidRPr="00455244">
              <w:rPr>
                <w:rFonts w:ascii="Times New Roman" w:hAnsi="Times New Roman"/>
                <w:sz w:val="20"/>
                <w:szCs w:val="20"/>
                <w:lang w:val="en-GB"/>
              </w:rPr>
              <w:t xml:space="preserve"> consultation options to mitigate knowledge and experience gaps.</w:t>
            </w:r>
          </w:p>
          <w:p w14:paraId="2829F420" w14:textId="77777777" w:rsidR="007735D1" w:rsidRDefault="007735D1" w:rsidP="007735D1">
            <w:pPr>
              <w:spacing w:line="360" w:lineRule="auto"/>
              <w:jc w:val="both"/>
              <w:rPr>
                <w:rFonts w:ascii="Times New Roman" w:hAnsi="Times New Roman"/>
                <w:sz w:val="20"/>
                <w:szCs w:val="20"/>
                <w:lang w:val="en-GB"/>
              </w:rPr>
            </w:pPr>
            <w:r>
              <w:rPr>
                <w:rFonts w:ascii="Times New Roman" w:hAnsi="Times New Roman"/>
                <w:sz w:val="20"/>
                <w:szCs w:val="20"/>
                <w:lang w:val="en-GB"/>
              </w:rPr>
              <w:t xml:space="preserve">We encountered a variety of ways in which PC providers had been educated. Examples were an evening class, e-learnings and on-the-job training but also spending a day with the nurse practitioner specialised in CHF in the hospital. Each of these examples had their own advantages and shortcomings. For example, an e-learning was an easy way for knowledge </w:t>
            </w:r>
            <w:proofErr w:type="gramStart"/>
            <w:r>
              <w:rPr>
                <w:rFonts w:ascii="Times New Roman" w:hAnsi="Times New Roman"/>
                <w:sz w:val="20"/>
                <w:szCs w:val="20"/>
                <w:lang w:val="en-GB"/>
              </w:rPr>
              <w:t>dissemination, yet</w:t>
            </w:r>
            <w:proofErr w:type="gramEnd"/>
            <w:r>
              <w:rPr>
                <w:rFonts w:ascii="Times New Roman" w:hAnsi="Times New Roman"/>
                <w:sz w:val="20"/>
                <w:szCs w:val="20"/>
                <w:lang w:val="en-GB"/>
              </w:rPr>
              <w:t xml:space="preserve"> did not facilitate personal relationships. </w:t>
            </w:r>
          </w:p>
          <w:p w14:paraId="6C873E72" w14:textId="77777777" w:rsidR="007735D1" w:rsidRDefault="007735D1" w:rsidP="007735D1">
            <w:pPr>
              <w:spacing w:line="360" w:lineRule="auto"/>
              <w:jc w:val="both"/>
              <w:rPr>
                <w:rFonts w:ascii="Times New Roman" w:hAnsi="Times New Roman"/>
                <w:sz w:val="20"/>
                <w:szCs w:val="20"/>
                <w:lang w:val="en-GB"/>
              </w:rPr>
            </w:pPr>
          </w:p>
          <w:p w14:paraId="1B739EEA" w14:textId="77777777" w:rsidR="007735D1" w:rsidRPr="00455244" w:rsidRDefault="007735D1" w:rsidP="007735D1">
            <w:pPr>
              <w:spacing w:line="360" w:lineRule="auto"/>
              <w:jc w:val="both"/>
              <w:rPr>
                <w:rFonts w:ascii="Times New Roman" w:hAnsi="Times New Roman"/>
                <w:sz w:val="20"/>
                <w:szCs w:val="20"/>
                <w:lang w:val="en-GB"/>
              </w:rPr>
            </w:pPr>
            <w:r w:rsidRPr="00455244">
              <w:rPr>
                <w:rFonts w:ascii="Times New Roman" w:hAnsi="Times New Roman"/>
                <w:b/>
                <w:bCs/>
                <w:sz w:val="20"/>
                <w:szCs w:val="20"/>
                <w:lang w:val="en-GB"/>
              </w:rPr>
              <w:t>Referral from SC to PC</w:t>
            </w:r>
          </w:p>
          <w:p w14:paraId="3DA44875" w14:textId="77777777" w:rsidR="007735D1" w:rsidRPr="00AB36C8"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 xml:space="preserve">The </w:t>
            </w:r>
            <w:r>
              <w:rPr>
                <w:rFonts w:ascii="Times New Roman" w:hAnsi="Times New Roman"/>
                <w:sz w:val="20"/>
                <w:szCs w:val="20"/>
                <w:lang w:val="en-GB"/>
              </w:rPr>
              <w:t>National Transmural Agreement (</w:t>
            </w:r>
            <w:proofErr w:type="spellStart"/>
            <w:r>
              <w:rPr>
                <w:rFonts w:ascii="Times New Roman" w:hAnsi="Times New Roman"/>
                <w:sz w:val="20"/>
                <w:szCs w:val="20"/>
                <w:lang w:val="en-GB"/>
              </w:rPr>
              <w:t>N</w:t>
            </w:r>
            <w:r w:rsidRPr="00455244">
              <w:rPr>
                <w:rFonts w:ascii="Times New Roman" w:hAnsi="Times New Roman"/>
                <w:sz w:val="20"/>
                <w:szCs w:val="20"/>
                <w:lang w:val="en-GB"/>
              </w:rPr>
              <w:t>TA</w:t>
            </w:r>
            <w:proofErr w:type="spellEnd"/>
            <w:r>
              <w:rPr>
                <w:rFonts w:ascii="Times New Roman" w:hAnsi="Times New Roman"/>
                <w:sz w:val="20"/>
                <w:szCs w:val="20"/>
                <w:lang w:val="en-GB"/>
              </w:rPr>
              <w:t>)</w:t>
            </w:r>
            <w:r w:rsidRPr="00455244">
              <w:rPr>
                <w:rFonts w:ascii="Times New Roman" w:hAnsi="Times New Roman"/>
                <w:sz w:val="20"/>
                <w:szCs w:val="20"/>
                <w:lang w:val="en-GB"/>
              </w:rPr>
              <w:t xml:space="preserve"> provides guidance for </w:t>
            </w:r>
            <w:r>
              <w:rPr>
                <w:rFonts w:ascii="Times New Roman" w:hAnsi="Times New Roman"/>
                <w:sz w:val="20"/>
                <w:szCs w:val="20"/>
                <w:lang w:val="en-GB"/>
              </w:rPr>
              <w:t xml:space="preserve">the </w:t>
            </w:r>
            <w:r w:rsidRPr="00455244">
              <w:rPr>
                <w:rFonts w:ascii="Times New Roman" w:hAnsi="Times New Roman"/>
                <w:sz w:val="20"/>
                <w:szCs w:val="20"/>
                <w:lang w:val="en-GB"/>
              </w:rPr>
              <w:t>development of RTAs</w:t>
            </w:r>
            <w:r>
              <w:rPr>
                <w:rFonts w:ascii="Times New Roman" w:hAnsi="Times New Roman"/>
                <w:sz w:val="20"/>
                <w:szCs w:val="20"/>
                <w:lang w:val="en-GB"/>
              </w:rPr>
              <w:t xml:space="preserve">. However, the </w:t>
            </w:r>
            <w:proofErr w:type="spellStart"/>
            <w:r>
              <w:rPr>
                <w:rFonts w:ascii="Times New Roman" w:hAnsi="Times New Roman"/>
                <w:sz w:val="20"/>
                <w:szCs w:val="20"/>
                <w:lang w:val="en-GB"/>
              </w:rPr>
              <w:t>NTA</w:t>
            </w:r>
            <w:proofErr w:type="spellEnd"/>
            <w:r>
              <w:rPr>
                <w:rFonts w:ascii="Times New Roman" w:hAnsi="Times New Roman"/>
                <w:sz w:val="20"/>
                <w:szCs w:val="20"/>
                <w:lang w:val="en-GB"/>
              </w:rPr>
              <w:t xml:space="preserve"> does not impose certain criteria and gives regions the freedom to develop their own tailored agreements. This resulted in different RTAs </w:t>
            </w:r>
            <w:proofErr w:type="gramStart"/>
            <w:r>
              <w:rPr>
                <w:rFonts w:ascii="Times New Roman" w:hAnsi="Times New Roman"/>
                <w:sz w:val="20"/>
                <w:szCs w:val="20"/>
                <w:lang w:val="en-GB"/>
              </w:rPr>
              <w:t>and also</w:t>
            </w:r>
            <w:proofErr w:type="gramEnd"/>
            <w:r w:rsidRPr="00455244">
              <w:rPr>
                <w:rFonts w:ascii="Times New Roman" w:hAnsi="Times New Roman"/>
                <w:sz w:val="20"/>
                <w:szCs w:val="20"/>
                <w:lang w:val="en-GB"/>
              </w:rPr>
              <w:t xml:space="preserve"> in </w:t>
            </w:r>
            <w:r>
              <w:rPr>
                <w:rFonts w:ascii="Times New Roman" w:hAnsi="Times New Roman"/>
                <w:sz w:val="20"/>
                <w:szCs w:val="20"/>
                <w:lang w:val="en-GB"/>
              </w:rPr>
              <w:t>different</w:t>
            </w:r>
            <w:r w:rsidRPr="00455244">
              <w:rPr>
                <w:rFonts w:ascii="Times New Roman" w:hAnsi="Times New Roman"/>
                <w:sz w:val="20"/>
                <w:szCs w:val="20"/>
                <w:lang w:val="en-GB"/>
              </w:rPr>
              <w:t xml:space="preserve"> criteria for referral </w:t>
            </w:r>
            <w:r>
              <w:rPr>
                <w:rFonts w:ascii="Times New Roman" w:hAnsi="Times New Roman"/>
                <w:sz w:val="20"/>
                <w:szCs w:val="20"/>
                <w:lang w:val="en-GB"/>
              </w:rPr>
              <w:t xml:space="preserve">back </w:t>
            </w:r>
            <w:r w:rsidRPr="00455244">
              <w:rPr>
                <w:rFonts w:ascii="Times New Roman" w:hAnsi="Times New Roman"/>
                <w:sz w:val="20"/>
                <w:szCs w:val="20"/>
                <w:lang w:val="en-GB"/>
              </w:rPr>
              <w:t xml:space="preserve">to PC. </w:t>
            </w:r>
            <w:r>
              <w:rPr>
                <w:rFonts w:ascii="Times New Roman" w:hAnsi="Times New Roman"/>
                <w:sz w:val="20"/>
                <w:szCs w:val="20"/>
                <w:lang w:val="en-GB"/>
              </w:rPr>
              <w:t xml:space="preserve">Whereas some regions strictly applied the criteria described in the </w:t>
            </w:r>
            <w:proofErr w:type="spellStart"/>
            <w:r>
              <w:rPr>
                <w:rFonts w:ascii="Times New Roman" w:hAnsi="Times New Roman"/>
                <w:sz w:val="20"/>
                <w:szCs w:val="20"/>
                <w:lang w:val="en-GB"/>
              </w:rPr>
              <w:t>NTA</w:t>
            </w:r>
            <w:proofErr w:type="spellEnd"/>
            <w:r>
              <w:rPr>
                <w:rFonts w:ascii="Times New Roman" w:hAnsi="Times New Roman"/>
                <w:sz w:val="20"/>
                <w:szCs w:val="20"/>
                <w:lang w:val="en-GB"/>
              </w:rPr>
              <w:t xml:space="preserve">, other regions started with more stringent criteria but later loosened these once cardiologists and PC providers became more comfortable with referring patients with stable CHF back to PC. An example of this was a region which also referred patients with an implantable cardioverter defibrillator back to PC. While these patients were not suggested by the </w:t>
            </w:r>
            <w:proofErr w:type="spellStart"/>
            <w:r>
              <w:rPr>
                <w:rFonts w:ascii="Times New Roman" w:hAnsi="Times New Roman"/>
                <w:sz w:val="20"/>
                <w:szCs w:val="20"/>
                <w:lang w:val="en-GB"/>
              </w:rPr>
              <w:t>NTA</w:t>
            </w:r>
            <w:proofErr w:type="spellEnd"/>
            <w:r>
              <w:rPr>
                <w:rFonts w:ascii="Times New Roman" w:hAnsi="Times New Roman"/>
                <w:sz w:val="20"/>
                <w:szCs w:val="20"/>
                <w:lang w:val="en-GB"/>
              </w:rPr>
              <w:t xml:space="preserve"> to be </w:t>
            </w:r>
            <w:proofErr w:type="gramStart"/>
            <w:r>
              <w:rPr>
                <w:rFonts w:ascii="Times New Roman" w:hAnsi="Times New Roman"/>
                <w:sz w:val="20"/>
                <w:szCs w:val="20"/>
                <w:lang w:val="en-GB"/>
              </w:rPr>
              <w:t>referred back</w:t>
            </w:r>
            <w:proofErr w:type="gramEnd"/>
            <w:r>
              <w:rPr>
                <w:rFonts w:ascii="Times New Roman" w:hAnsi="Times New Roman"/>
                <w:sz w:val="20"/>
                <w:szCs w:val="20"/>
                <w:lang w:val="en-GB"/>
              </w:rPr>
              <w:t xml:space="preserve"> to PC, the hospital opted to partially transfer these patients to PC thereby reducing the number of times the patient visited the hospital (“shared care”). </w:t>
            </w:r>
          </w:p>
          <w:p w14:paraId="627C74FD" w14:textId="77777777" w:rsidR="007735D1" w:rsidRDefault="007735D1" w:rsidP="007735D1">
            <w:pPr>
              <w:spacing w:line="360" w:lineRule="auto"/>
              <w:jc w:val="both"/>
              <w:rPr>
                <w:rFonts w:ascii="Times New Roman" w:hAnsi="Times New Roman"/>
                <w:sz w:val="20"/>
                <w:szCs w:val="20"/>
                <w:lang w:val="en-GB"/>
              </w:rPr>
            </w:pPr>
            <w:r>
              <w:rPr>
                <w:rFonts w:ascii="Times New Roman" w:hAnsi="Times New Roman"/>
                <w:sz w:val="20"/>
                <w:szCs w:val="20"/>
                <w:lang w:val="en-GB"/>
              </w:rPr>
              <w:t xml:space="preserve">Most participants mentioned that the criteria in the RTA were the most important determinants in the decision if the patient was </w:t>
            </w:r>
            <w:proofErr w:type="gramStart"/>
            <w:r>
              <w:rPr>
                <w:rFonts w:ascii="Times New Roman" w:hAnsi="Times New Roman"/>
                <w:sz w:val="20"/>
                <w:szCs w:val="20"/>
                <w:lang w:val="en-GB"/>
              </w:rPr>
              <w:t>referred back</w:t>
            </w:r>
            <w:proofErr w:type="gramEnd"/>
            <w:r>
              <w:rPr>
                <w:rFonts w:ascii="Times New Roman" w:hAnsi="Times New Roman"/>
                <w:sz w:val="20"/>
                <w:szCs w:val="20"/>
                <w:lang w:val="en-GB"/>
              </w:rPr>
              <w:t xml:space="preserve"> to PC. However, apart from</w:t>
            </w:r>
            <w:r w:rsidRPr="00455244">
              <w:rPr>
                <w:rFonts w:ascii="Times New Roman" w:hAnsi="Times New Roman"/>
                <w:sz w:val="20"/>
                <w:szCs w:val="20"/>
                <w:lang w:val="en-GB"/>
              </w:rPr>
              <w:t xml:space="preserve"> criteria in the RTA, trust in the competencies within PC sometimes affected referrals. Several cardiologists </w:t>
            </w:r>
            <w:r>
              <w:rPr>
                <w:rFonts w:ascii="Times New Roman" w:hAnsi="Times New Roman"/>
                <w:sz w:val="20"/>
                <w:szCs w:val="20"/>
                <w:lang w:val="en-GB"/>
              </w:rPr>
              <w:t>noted</w:t>
            </w:r>
            <w:r w:rsidRPr="00455244">
              <w:rPr>
                <w:rFonts w:ascii="Times New Roman" w:hAnsi="Times New Roman"/>
                <w:sz w:val="20"/>
                <w:szCs w:val="20"/>
                <w:lang w:val="en-GB"/>
              </w:rPr>
              <w:t xml:space="preserve"> that they were unaware of which PC clinic had </w:t>
            </w:r>
            <w:r w:rsidRPr="00455244">
              <w:rPr>
                <w:rFonts w:ascii="Times New Roman" w:hAnsi="Times New Roman"/>
                <w:sz w:val="20"/>
                <w:szCs w:val="20"/>
                <w:lang w:val="en-GB"/>
              </w:rPr>
              <w:lastRenderedPageBreak/>
              <w:t>affinity and experience with CHF patients and which</w:t>
            </w:r>
            <w:r>
              <w:rPr>
                <w:rFonts w:ascii="Times New Roman" w:hAnsi="Times New Roman"/>
                <w:sz w:val="20"/>
                <w:szCs w:val="20"/>
                <w:lang w:val="en-GB"/>
              </w:rPr>
              <w:t xml:space="preserve"> PC clinic</w:t>
            </w:r>
            <w:r w:rsidRPr="00455244">
              <w:rPr>
                <w:rFonts w:ascii="Times New Roman" w:hAnsi="Times New Roman"/>
                <w:sz w:val="20"/>
                <w:szCs w:val="20"/>
                <w:lang w:val="en-GB"/>
              </w:rPr>
              <w:t xml:space="preserve"> did</w:t>
            </w:r>
            <w:r>
              <w:rPr>
                <w:rFonts w:ascii="Times New Roman" w:hAnsi="Times New Roman"/>
                <w:sz w:val="20"/>
                <w:szCs w:val="20"/>
                <w:lang w:val="en-GB"/>
              </w:rPr>
              <w:t xml:space="preserve"> not</w:t>
            </w:r>
            <w:r w:rsidRPr="00455244">
              <w:rPr>
                <w:rFonts w:ascii="Times New Roman" w:hAnsi="Times New Roman"/>
                <w:sz w:val="20"/>
                <w:szCs w:val="20"/>
                <w:lang w:val="en-GB"/>
              </w:rPr>
              <w:t xml:space="preserve">. </w:t>
            </w:r>
            <w:r>
              <w:rPr>
                <w:rFonts w:ascii="Times New Roman" w:hAnsi="Times New Roman"/>
                <w:sz w:val="20"/>
                <w:szCs w:val="20"/>
                <w:lang w:val="en-GB"/>
              </w:rPr>
              <w:t xml:space="preserve">In addition, several cardiologists reported that they had bad experiences with referring patients back to PC. This resulted sometimes in </w:t>
            </w:r>
            <w:r w:rsidRPr="00455244">
              <w:rPr>
                <w:rFonts w:ascii="Times New Roman" w:hAnsi="Times New Roman"/>
                <w:sz w:val="20"/>
                <w:szCs w:val="20"/>
                <w:lang w:val="en-GB"/>
              </w:rPr>
              <w:t>a lack of trust in PC skills</w:t>
            </w:r>
            <w:r>
              <w:rPr>
                <w:rFonts w:ascii="Times New Roman" w:hAnsi="Times New Roman"/>
                <w:sz w:val="20"/>
                <w:szCs w:val="20"/>
                <w:lang w:val="en-GB"/>
              </w:rPr>
              <w:t xml:space="preserve"> which</w:t>
            </w:r>
            <w:r w:rsidRPr="00455244">
              <w:rPr>
                <w:rFonts w:ascii="Times New Roman" w:hAnsi="Times New Roman"/>
                <w:sz w:val="20"/>
                <w:szCs w:val="20"/>
                <w:lang w:val="en-GB"/>
              </w:rPr>
              <w:t xml:space="preserve"> </w:t>
            </w:r>
            <w:r>
              <w:rPr>
                <w:rFonts w:ascii="Times New Roman" w:hAnsi="Times New Roman"/>
                <w:sz w:val="20"/>
                <w:szCs w:val="20"/>
                <w:lang w:val="en-GB"/>
              </w:rPr>
              <w:t xml:space="preserve">resulted in </w:t>
            </w:r>
            <w:r w:rsidRPr="00455244">
              <w:rPr>
                <w:rFonts w:ascii="Times New Roman" w:hAnsi="Times New Roman"/>
                <w:sz w:val="20"/>
                <w:szCs w:val="20"/>
                <w:lang w:val="en-GB"/>
              </w:rPr>
              <w:t xml:space="preserve">cardiologists </w:t>
            </w:r>
            <w:r>
              <w:rPr>
                <w:rFonts w:ascii="Times New Roman" w:hAnsi="Times New Roman"/>
                <w:sz w:val="20"/>
                <w:szCs w:val="20"/>
                <w:lang w:val="en-GB"/>
              </w:rPr>
              <w:t xml:space="preserve">not </w:t>
            </w:r>
            <w:r w:rsidRPr="00455244">
              <w:rPr>
                <w:rFonts w:ascii="Times New Roman" w:hAnsi="Times New Roman"/>
                <w:sz w:val="20"/>
                <w:szCs w:val="20"/>
                <w:lang w:val="en-GB"/>
              </w:rPr>
              <w:t>refer</w:t>
            </w:r>
            <w:r>
              <w:rPr>
                <w:rFonts w:ascii="Times New Roman" w:hAnsi="Times New Roman"/>
                <w:sz w:val="20"/>
                <w:szCs w:val="20"/>
                <w:lang w:val="en-GB"/>
              </w:rPr>
              <w:t>ring</w:t>
            </w:r>
            <w:r w:rsidRPr="00455244">
              <w:rPr>
                <w:rFonts w:ascii="Times New Roman" w:hAnsi="Times New Roman"/>
                <w:sz w:val="20"/>
                <w:szCs w:val="20"/>
                <w:lang w:val="en-GB"/>
              </w:rPr>
              <w:t xml:space="preserve"> patients </w:t>
            </w:r>
            <w:r>
              <w:rPr>
                <w:rFonts w:ascii="Times New Roman" w:hAnsi="Times New Roman"/>
                <w:sz w:val="20"/>
                <w:szCs w:val="20"/>
                <w:lang w:val="en-GB"/>
              </w:rPr>
              <w:t xml:space="preserve">back </w:t>
            </w:r>
            <w:r w:rsidRPr="00455244">
              <w:rPr>
                <w:rFonts w:ascii="Times New Roman" w:hAnsi="Times New Roman"/>
                <w:sz w:val="20"/>
                <w:szCs w:val="20"/>
                <w:lang w:val="en-GB"/>
              </w:rPr>
              <w:t>to PC. However, most cardiologists reported that they followed the criteria in the RTA, regardless of the PC clinic.</w:t>
            </w:r>
            <w:r>
              <w:rPr>
                <w:rFonts w:ascii="Times New Roman" w:hAnsi="Times New Roman"/>
                <w:sz w:val="20"/>
                <w:szCs w:val="20"/>
                <w:lang w:val="en-GB"/>
              </w:rPr>
              <w:t xml:space="preserve"> Most cardiologists and nurse practitioners tried to provide clear instructions for PC providers and, if possible, call with the PC provider before referring the patient back. </w:t>
            </w:r>
          </w:p>
          <w:p w14:paraId="5BA0E87F" w14:textId="77777777" w:rsidR="007735D1" w:rsidRDefault="007735D1" w:rsidP="007735D1">
            <w:pPr>
              <w:spacing w:line="360" w:lineRule="auto"/>
              <w:jc w:val="both"/>
              <w:rPr>
                <w:rFonts w:ascii="Times New Roman" w:hAnsi="Times New Roman"/>
                <w:b/>
                <w:bCs/>
                <w:sz w:val="20"/>
                <w:szCs w:val="20"/>
                <w:lang w:val="en-GB"/>
              </w:rPr>
            </w:pPr>
          </w:p>
          <w:p w14:paraId="47044121" w14:textId="77777777" w:rsidR="007735D1" w:rsidRPr="004A6C4B" w:rsidRDefault="007735D1" w:rsidP="007735D1">
            <w:pPr>
              <w:spacing w:line="360" w:lineRule="auto"/>
              <w:jc w:val="both"/>
              <w:rPr>
                <w:rFonts w:ascii="Times New Roman" w:hAnsi="Times New Roman"/>
                <w:sz w:val="20"/>
                <w:szCs w:val="20"/>
                <w:lang w:val="en-GB"/>
              </w:rPr>
            </w:pPr>
            <w:r w:rsidRPr="00455244">
              <w:rPr>
                <w:rFonts w:ascii="Times New Roman" w:hAnsi="Times New Roman"/>
                <w:b/>
                <w:bCs/>
                <w:sz w:val="20"/>
                <w:szCs w:val="20"/>
                <w:lang w:val="en-GB"/>
              </w:rPr>
              <w:t>Patients</w:t>
            </w:r>
          </w:p>
          <w:p w14:paraId="09436589" w14:textId="77777777" w:rsidR="007735D1" w:rsidRDefault="007735D1" w:rsidP="007735D1">
            <w:pPr>
              <w:spacing w:line="360" w:lineRule="auto"/>
              <w:jc w:val="both"/>
              <w:rPr>
                <w:rFonts w:ascii="Times New Roman" w:hAnsi="Times New Roman"/>
                <w:b/>
                <w:bCs/>
                <w:sz w:val="20"/>
                <w:szCs w:val="20"/>
                <w:lang w:val="en-GB"/>
              </w:rPr>
            </w:pPr>
            <w:r w:rsidRPr="00455244">
              <w:rPr>
                <w:rFonts w:ascii="Times New Roman" w:hAnsi="Times New Roman"/>
                <w:sz w:val="20"/>
                <w:szCs w:val="20"/>
                <w:lang w:val="en-GB"/>
              </w:rPr>
              <w:t xml:space="preserve">Several participants mentioned that patients are sometimes unwilling to be </w:t>
            </w:r>
            <w:proofErr w:type="gramStart"/>
            <w:r w:rsidRPr="00455244">
              <w:rPr>
                <w:rFonts w:ascii="Times New Roman" w:hAnsi="Times New Roman"/>
                <w:sz w:val="20"/>
                <w:szCs w:val="20"/>
                <w:lang w:val="en-GB"/>
              </w:rPr>
              <w:t>referred back</w:t>
            </w:r>
            <w:proofErr w:type="gramEnd"/>
            <w:r w:rsidRPr="00455244">
              <w:rPr>
                <w:rFonts w:ascii="Times New Roman" w:hAnsi="Times New Roman"/>
                <w:sz w:val="20"/>
                <w:szCs w:val="20"/>
                <w:lang w:val="en-GB"/>
              </w:rPr>
              <w:t xml:space="preserve"> to </w:t>
            </w:r>
            <w:r>
              <w:rPr>
                <w:rFonts w:ascii="Times New Roman" w:hAnsi="Times New Roman"/>
                <w:sz w:val="20"/>
                <w:szCs w:val="20"/>
                <w:lang w:val="en-GB"/>
              </w:rPr>
              <w:t>PC</w:t>
            </w:r>
            <w:r w:rsidRPr="00455244">
              <w:rPr>
                <w:rFonts w:ascii="Times New Roman" w:hAnsi="Times New Roman"/>
                <w:sz w:val="20"/>
                <w:szCs w:val="20"/>
                <w:lang w:val="en-GB"/>
              </w:rPr>
              <w:t xml:space="preserve"> due to the high satisfaction with the care at specialised</w:t>
            </w:r>
            <w:r>
              <w:rPr>
                <w:rFonts w:ascii="Times New Roman" w:hAnsi="Times New Roman"/>
                <w:sz w:val="20"/>
                <w:szCs w:val="20"/>
                <w:lang w:val="en-GB"/>
              </w:rPr>
              <w:t xml:space="preserve"> CHF</w:t>
            </w:r>
            <w:r w:rsidRPr="00455244">
              <w:rPr>
                <w:rFonts w:ascii="Times New Roman" w:hAnsi="Times New Roman"/>
                <w:sz w:val="20"/>
                <w:szCs w:val="20"/>
                <w:lang w:val="en-GB"/>
              </w:rPr>
              <w:t xml:space="preserve"> clinics. </w:t>
            </w:r>
            <w:r>
              <w:rPr>
                <w:rFonts w:ascii="Times New Roman" w:hAnsi="Times New Roman"/>
                <w:sz w:val="20"/>
                <w:szCs w:val="20"/>
                <w:lang w:val="en-GB"/>
              </w:rPr>
              <w:t xml:space="preserve">They also remarked that this can be prevented by improving the education on the care pathways by both PC providers and cardiologists. By informing the patient in a timely and adequate manner the patient is prepared that he or she will eventually be </w:t>
            </w:r>
            <w:proofErr w:type="gramStart"/>
            <w:r>
              <w:rPr>
                <w:rFonts w:ascii="Times New Roman" w:hAnsi="Times New Roman"/>
                <w:sz w:val="20"/>
                <w:szCs w:val="20"/>
                <w:lang w:val="en-GB"/>
              </w:rPr>
              <w:t>referred back</w:t>
            </w:r>
            <w:proofErr w:type="gramEnd"/>
            <w:r>
              <w:rPr>
                <w:rFonts w:ascii="Times New Roman" w:hAnsi="Times New Roman"/>
                <w:sz w:val="20"/>
                <w:szCs w:val="20"/>
                <w:lang w:val="en-GB"/>
              </w:rPr>
              <w:t xml:space="preserve"> to PC. In addition, easily accessible consultation options of the CHF clinic for the PC providers and patients can improve the willingness of patients to be </w:t>
            </w:r>
            <w:proofErr w:type="gramStart"/>
            <w:r>
              <w:rPr>
                <w:rFonts w:ascii="Times New Roman" w:hAnsi="Times New Roman"/>
                <w:sz w:val="20"/>
                <w:szCs w:val="20"/>
                <w:lang w:val="en-GB"/>
              </w:rPr>
              <w:t>referred back</w:t>
            </w:r>
            <w:proofErr w:type="gramEnd"/>
            <w:r>
              <w:rPr>
                <w:rFonts w:ascii="Times New Roman" w:hAnsi="Times New Roman"/>
                <w:sz w:val="20"/>
                <w:szCs w:val="20"/>
                <w:lang w:val="en-GB"/>
              </w:rPr>
              <w:t xml:space="preserve"> to PC. </w:t>
            </w:r>
          </w:p>
          <w:p w14:paraId="799AE460" w14:textId="77777777" w:rsidR="007735D1" w:rsidRDefault="007735D1" w:rsidP="007735D1">
            <w:pPr>
              <w:spacing w:line="360" w:lineRule="auto"/>
              <w:jc w:val="both"/>
              <w:rPr>
                <w:rFonts w:ascii="Times New Roman" w:hAnsi="Times New Roman"/>
                <w:b/>
                <w:bCs/>
                <w:sz w:val="20"/>
                <w:szCs w:val="20"/>
                <w:lang w:val="en-GB"/>
              </w:rPr>
            </w:pPr>
          </w:p>
          <w:p w14:paraId="46382C23" w14:textId="77777777" w:rsidR="007735D1" w:rsidRPr="00455244" w:rsidRDefault="007735D1" w:rsidP="007735D1">
            <w:pPr>
              <w:spacing w:line="360" w:lineRule="auto"/>
              <w:jc w:val="both"/>
              <w:rPr>
                <w:rFonts w:ascii="Times New Roman" w:hAnsi="Times New Roman"/>
                <w:b/>
                <w:bCs/>
                <w:sz w:val="20"/>
                <w:szCs w:val="20"/>
                <w:lang w:val="en-GB"/>
              </w:rPr>
            </w:pPr>
            <w:r w:rsidRPr="00455244">
              <w:rPr>
                <w:rFonts w:ascii="Times New Roman" w:hAnsi="Times New Roman"/>
                <w:b/>
                <w:bCs/>
                <w:sz w:val="20"/>
                <w:szCs w:val="20"/>
                <w:lang w:val="en-GB"/>
              </w:rPr>
              <w:t xml:space="preserve">Relationships </w:t>
            </w:r>
          </w:p>
          <w:p w14:paraId="74021EE4" w14:textId="77777777" w:rsidR="007735D1" w:rsidRPr="00455244"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Participants reported that RTAs must be in line with the skills and facilities</w:t>
            </w:r>
            <w:r>
              <w:rPr>
                <w:rFonts w:ascii="Times New Roman" w:hAnsi="Times New Roman"/>
                <w:sz w:val="20"/>
                <w:szCs w:val="20"/>
                <w:lang w:val="en-GB"/>
              </w:rPr>
              <w:t xml:space="preserve"> </w:t>
            </w:r>
            <w:r w:rsidRPr="00455244">
              <w:rPr>
                <w:rFonts w:ascii="Times New Roman" w:hAnsi="Times New Roman"/>
                <w:sz w:val="20"/>
                <w:szCs w:val="20"/>
                <w:lang w:val="en-GB"/>
              </w:rPr>
              <w:t>of both PC and SC providers.</w:t>
            </w:r>
            <w:r>
              <w:rPr>
                <w:rFonts w:ascii="Times New Roman" w:hAnsi="Times New Roman"/>
                <w:sz w:val="20"/>
                <w:szCs w:val="20"/>
                <w:lang w:val="en-GB"/>
              </w:rPr>
              <w:t xml:space="preserve"> These differed across but even within regions. For example, in one region one hospital provided a possibility to diagnose CHF for patients in PC, without an actual transfer of the patient to SC, while </w:t>
            </w:r>
            <w:proofErr w:type="spellStart"/>
            <w:proofErr w:type="gramStart"/>
            <w:r>
              <w:rPr>
                <w:rFonts w:ascii="Times New Roman" w:hAnsi="Times New Roman"/>
                <w:sz w:val="20"/>
                <w:szCs w:val="20"/>
                <w:lang w:val="en-GB"/>
              </w:rPr>
              <w:t>an other</w:t>
            </w:r>
            <w:proofErr w:type="spellEnd"/>
            <w:proofErr w:type="gramEnd"/>
            <w:r>
              <w:rPr>
                <w:rFonts w:ascii="Times New Roman" w:hAnsi="Times New Roman"/>
                <w:sz w:val="20"/>
                <w:szCs w:val="20"/>
                <w:lang w:val="en-GB"/>
              </w:rPr>
              <w:t xml:space="preserve"> hospital in the same region did not provide this option. In some regions, some PC providers were able to interpret reports of echocardiograms themselves whereas this was </w:t>
            </w:r>
            <w:proofErr w:type="gramStart"/>
            <w:r>
              <w:rPr>
                <w:rFonts w:ascii="Times New Roman" w:hAnsi="Times New Roman"/>
                <w:sz w:val="20"/>
                <w:szCs w:val="20"/>
                <w:lang w:val="en-GB"/>
              </w:rPr>
              <w:t>more rare</w:t>
            </w:r>
            <w:proofErr w:type="gramEnd"/>
            <w:r>
              <w:rPr>
                <w:rFonts w:ascii="Times New Roman" w:hAnsi="Times New Roman"/>
                <w:sz w:val="20"/>
                <w:szCs w:val="20"/>
                <w:lang w:val="en-GB"/>
              </w:rPr>
              <w:t xml:space="preserve"> in other regions. These differences affected the way things were organised within the regions. Participants noted that</w:t>
            </w:r>
            <w:r w:rsidRPr="00455244">
              <w:rPr>
                <w:rFonts w:ascii="Times New Roman" w:hAnsi="Times New Roman"/>
                <w:sz w:val="20"/>
                <w:szCs w:val="20"/>
                <w:lang w:val="en-GB"/>
              </w:rPr>
              <w:t xml:space="preserve"> it was important that </w:t>
            </w:r>
            <w:r>
              <w:rPr>
                <w:rFonts w:ascii="Times New Roman" w:hAnsi="Times New Roman"/>
                <w:sz w:val="20"/>
                <w:szCs w:val="20"/>
                <w:lang w:val="en-GB"/>
              </w:rPr>
              <w:t xml:space="preserve">developers of the </w:t>
            </w:r>
            <w:r w:rsidRPr="00455244">
              <w:rPr>
                <w:rFonts w:ascii="Times New Roman" w:hAnsi="Times New Roman"/>
                <w:sz w:val="20"/>
                <w:szCs w:val="20"/>
                <w:lang w:val="en-GB"/>
              </w:rPr>
              <w:t>RTA had good relationships with their colleagues</w:t>
            </w:r>
            <w:r>
              <w:rPr>
                <w:rFonts w:ascii="Times New Roman" w:hAnsi="Times New Roman"/>
                <w:sz w:val="20"/>
                <w:szCs w:val="20"/>
                <w:lang w:val="en-GB"/>
              </w:rPr>
              <w:t xml:space="preserve"> and acknowledge their abilities and inabilities</w:t>
            </w:r>
            <w:r w:rsidRPr="00455244">
              <w:rPr>
                <w:rFonts w:ascii="Times New Roman" w:hAnsi="Times New Roman"/>
                <w:sz w:val="20"/>
                <w:szCs w:val="20"/>
                <w:lang w:val="en-GB"/>
              </w:rPr>
              <w:t xml:space="preserve">. This remained important during </w:t>
            </w:r>
            <w:r>
              <w:rPr>
                <w:rFonts w:ascii="Times New Roman" w:hAnsi="Times New Roman"/>
                <w:sz w:val="20"/>
                <w:szCs w:val="20"/>
                <w:lang w:val="en-GB"/>
              </w:rPr>
              <w:t xml:space="preserve">the </w:t>
            </w:r>
            <w:r w:rsidRPr="00455244">
              <w:rPr>
                <w:rFonts w:ascii="Times New Roman" w:hAnsi="Times New Roman"/>
                <w:sz w:val="20"/>
                <w:szCs w:val="20"/>
                <w:lang w:val="en-GB"/>
              </w:rPr>
              <w:t>implementation to ensure continued participation and</w:t>
            </w:r>
            <w:r>
              <w:rPr>
                <w:rFonts w:ascii="Times New Roman" w:hAnsi="Times New Roman"/>
                <w:sz w:val="20"/>
                <w:szCs w:val="20"/>
                <w:lang w:val="en-GB"/>
              </w:rPr>
              <w:t xml:space="preserve"> the</w:t>
            </w:r>
            <w:r w:rsidRPr="00455244">
              <w:rPr>
                <w:rFonts w:ascii="Times New Roman" w:hAnsi="Times New Roman"/>
                <w:sz w:val="20"/>
                <w:szCs w:val="20"/>
                <w:lang w:val="en-GB"/>
              </w:rPr>
              <w:t xml:space="preserve"> signalling of possible barriers</w:t>
            </w:r>
            <w:r>
              <w:rPr>
                <w:rFonts w:ascii="Times New Roman" w:hAnsi="Times New Roman"/>
                <w:sz w:val="20"/>
                <w:szCs w:val="20"/>
                <w:lang w:val="en-GB"/>
              </w:rPr>
              <w:t xml:space="preserve"> and was not limited to PC providers</w:t>
            </w:r>
            <w:r w:rsidRPr="00455244">
              <w:rPr>
                <w:rFonts w:ascii="Times New Roman" w:hAnsi="Times New Roman"/>
                <w:sz w:val="20"/>
                <w:szCs w:val="20"/>
                <w:lang w:val="en-GB"/>
              </w:rPr>
              <w:t>. For example, cardiologists that</w:t>
            </w:r>
            <w:r>
              <w:rPr>
                <w:rFonts w:ascii="Times New Roman" w:hAnsi="Times New Roman"/>
                <w:sz w:val="20"/>
                <w:szCs w:val="20"/>
                <w:lang w:val="en-GB"/>
              </w:rPr>
              <w:t xml:space="preserve"> had</w:t>
            </w:r>
            <w:r w:rsidRPr="00455244">
              <w:rPr>
                <w:rFonts w:ascii="Times New Roman" w:hAnsi="Times New Roman"/>
                <w:sz w:val="20"/>
                <w:szCs w:val="20"/>
                <w:lang w:val="en-GB"/>
              </w:rPr>
              <w:t xml:space="preserve"> initiated the RTA </w:t>
            </w:r>
            <w:r>
              <w:rPr>
                <w:rFonts w:ascii="Times New Roman" w:hAnsi="Times New Roman"/>
                <w:sz w:val="20"/>
                <w:szCs w:val="20"/>
                <w:lang w:val="en-GB"/>
              </w:rPr>
              <w:t xml:space="preserve">also </w:t>
            </w:r>
            <w:r w:rsidRPr="00455244">
              <w:rPr>
                <w:rFonts w:ascii="Times New Roman" w:hAnsi="Times New Roman"/>
                <w:sz w:val="20"/>
                <w:szCs w:val="20"/>
                <w:lang w:val="en-GB"/>
              </w:rPr>
              <w:t xml:space="preserve">needed to monitor if cardiologists, with other specialties than </w:t>
            </w:r>
            <w:r>
              <w:rPr>
                <w:rFonts w:ascii="Times New Roman" w:hAnsi="Times New Roman"/>
                <w:sz w:val="20"/>
                <w:szCs w:val="20"/>
                <w:lang w:val="en-GB"/>
              </w:rPr>
              <w:t>CHF</w:t>
            </w:r>
            <w:r w:rsidRPr="00455244">
              <w:rPr>
                <w:rFonts w:ascii="Times New Roman" w:hAnsi="Times New Roman"/>
                <w:sz w:val="20"/>
                <w:szCs w:val="20"/>
                <w:lang w:val="en-GB"/>
              </w:rPr>
              <w:t xml:space="preserve">, also referred patients according to the RTA. </w:t>
            </w:r>
          </w:p>
          <w:p w14:paraId="10680B6A" w14:textId="77777777" w:rsidR="007735D1" w:rsidRPr="00402DBC"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 xml:space="preserve">In addition, it was frequently mentioned that </w:t>
            </w:r>
            <w:r>
              <w:rPr>
                <w:rFonts w:ascii="Times New Roman" w:hAnsi="Times New Roman"/>
                <w:sz w:val="20"/>
                <w:szCs w:val="20"/>
                <w:lang w:val="en-GB"/>
              </w:rPr>
              <w:t>‘</w:t>
            </w:r>
            <w:r w:rsidRPr="00455244">
              <w:rPr>
                <w:rFonts w:ascii="Times New Roman" w:hAnsi="Times New Roman"/>
                <w:sz w:val="20"/>
                <w:szCs w:val="20"/>
                <w:lang w:val="en-GB"/>
              </w:rPr>
              <w:t>knowing each other</w:t>
            </w:r>
            <w:r>
              <w:rPr>
                <w:rFonts w:ascii="Times New Roman" w:hAnsi="Times New Roman"/>
                <w:sz w:val="20"/>
                <w:szCs w:val="20"/>
                <w:lang w:val="en-GB"/>
              </w:rPr>
              <w:t>’</w:t>
            </w:r>
            <w:r w:rsidRPr="00455244">
              <w:rPr>
                <w:rFonts w:ascii="Times New Roman" w:hAnsi="Times New Roman"/>
                <w:sz w:val="20"/>
                <w:szCs w:val="20"/>
                <w:lang w:val="en-GB"/>
              </w:rPr>
              <w:t>, was an important facilitator for collaboration</w:t>
            </w:r>
            <w:r>
              <w:rPr>
                <w:rFonts w:ascii="Times New Roman" w:hAnsi="Times New Roman"/>
                <w:sz w:val="20"/>
                <w:szCs w:val="20"/>
                <w:lang w:val="en-GB"/>
              </w:rPr>
              <w:t xml:space="preserve"> </w:t>
            </w:r>
            <w:r w:rsidRPr="00455244">
              <w:rPr>
                <w:rFonts w:ascii="Times New Roman" w:hAnsi="Times New Roman"/>
                <w:sz w:val="20"/>
                <w:szCs w:val="20"/>
                <w:lang w:val="en-GB"/>
              </w:rPr>
              <w:t xml:space="preserve">This created a better understanding of each other’s abilities and challenges and </w:t>
            </w:r>
            <w:r>
              <w:rPr>
                <w:rFonts w:ascii="Times New Roman" w:hAnsi="Times New Roman"/>
                <w:sz w:val="20"/>
                <w:szCs w:val="20"/>
                <w:lang w:val="en-GB"/>
              </w:rPr>
              <w:t xml:space="preserve">resulted in increased </w:t>
            </w:r>
            <w:r w:rsidRPr="00455244">
              <w:rPr>
                <w:rFonts w:ascii="Times New Roman" w:hAnsi="Times New Roman"/>
                <w:sz w:val="20"/>
                <w:szCs w:val="20"/>
                <w:lang w:val="en-GB"/>
              </w:rPr>
              <w:t>trust</w:t>
            </w:r>
            <w:r>
              <w:rPr>
                <w:rFonts w:ascii="Times New Roman" w:hAnsi="Times New Roman"/>
                <w:sz w:val="20"/>
                <w:szCs w:val="20"/>
                <w:lang w:val="en-GB"/>
              </w:rPr>
              <w:t xml:space="preserve"> in each other</w:t>
            </w:r>
            <w:r w:rsidRPr="00455244">
              <w:rPr>
                <w:rFonts w:ascii="Times New Roman" w:hAnsi="Times New Roman"/>
                <w:sz w:val="20"/>
                <w:szCs w:val="20"/>
                <w:lang w:val="en-GB"/>
              </w:rPr>
              <w:t>.</w:t>
            </w:r>
            <w:r>
              <w:rPr>
                <w:rFonts w:ascii="Times New Roman" w:hAnsi="Times New Roman"/>
                <w:sz w:val="20"/>
                <w:szCs w:val="20"/>
                <w:lang w:val="en-GB"/>
              </w:rPr>
              <w:t xml:space="preserve"> In addition, knowing each other increased willingness to refer and accept the transfer of patients from SC to PC. One way to facilitate ‘knowing each other’ was trough the education process.</w:t>
            </w:r>
            <w:r w:rsidRPr="00455244">
              <w:rPr>
                <w:rFonts w:ascii="Times New Roman" w:hAnsi="Times New Roman"/>
                <w:sz w:val="20"/>
                <w:szCs w:val="20"/>
                <w:lang w:val="en-GB"/>
              </w:rPr>
              <w:t xml:space="preserve"> These personal contacts became scarcer as more healthcare providers were present within the region.</w:t>
            </w:r>
            <w:r>
              <w:rPr>
                <w:rFonts w:ascii="Times New Roman" w:hAnsi="Times New Roman"/>
                <w:sz w:val="20"/>
                <w:szCs w:val="20"/>
                <w:lang w:val="en-GB"/>
              </w:rPr>
              <w:t xml:space="preserve"> However, once healthcare providers had participated previously in transmural </w:t>
            </w:r>
            <w:proofErr w:type="gramStart"/>
            <w:r>
              <w:rPr>
                <w:rFonts w:ascii="Times New Roman" w:hAnsi="Times New Roman"/>
                <w:sz w:val="20"/>
                <w:szCs w:val="20"/>
                <w:lang w:val="en-GB"/>
              </w:rPr>
              <w:t>projects</w:t>
            </w:r>
            <w:proofErr w:type="gramEnd"/>
            <w:r>
              <w:rPr>
                <w:rFonts w:ascii="Times New Roman" w:hAnsi="Times New Roman"/>
                <w:sz w:val="20"/>
                <w:szCs w:val="20"/>
                <w:lang w:val="en-GB"/>
              </w:rPr>
              <w:t xml:space="preserve"> they were more familiar with the organisations, processes and people involved which acted as positive reinforcement for future projects. </w:t>
            </w:r>
          </w:p>
          <w:p w14:paraId="028A9B48" w14:textId="77777777" w:rsidR="007735D1" w:rsidRDefault="007735D1" w:rsidP="007735D1">
            <w:pPr>
              <w:spacing w:line="360" w:lineRule="auto"/>
              <w:jc w:val="both"/>
              <w:rPr>
                <w:rFonts w:ascii="Times New Roman" w:hAnsi="Times New Roman"/>
                <w:b/>
                <w:bCs/>
                <w:sz w:val="20"/>
                <w:szCs w:val="20"/>
                <w:lang w:val="en-GB"/>
              </w:rPr>
            </w:pPr>
          </w:p>
          <w:p w14:paraId="1A73CE5C" w14:textId="77777777" w:rsidR="007735D1" w:rsidRPr="00455244" w:rsidRDefault="007735D1" w:rsidP="007735D1">
            <w:pPr>
              <w:spacing w:line="360" w:lineRule="auto"/>
              <w:jc w:val="both"/>
              <w:rPr>
                <w:rFonts w:ascii="Times New Roman" w:hAnsi="Times New Roman"/>
                <w:b/>
                <w:bCs/>
                <w:sz w:val="20"/>
                <w:szCs w:val="20"/>
                <w:lang w:val="en-GB"/>
              </w:rPr>
            </w:pPr>
            <w:r w:rsidRPr="00455244">
              <w:rPr>
                <w:rFonts w:ascii="Times New Roman" w:hAnsi="Times New Roman"/>
                <w:b/>
                <w:bCs/>
                <w:sz w:val="20"/>
                <w:szCs w:val="20"/>
                <w:lang w:val="en-GB"/>
              </w:rPr>
              <w:t>Reimbursement</w:t>
            </w:r>
          </w:p>
          <w:p w14:paraId="67C0518D" w14:textId="77777777" w:rsidR="007735D1" w:rsidRPr="00455244"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 xml:space="preserve">Reimbursement of additional activities due to the RTA was experienced as a major hurdle </w:t>
            </w:r>
            <w:r>
              <w:rPr>
                <w:rFonts w:ascii="Times New Roman" w:hAnsi="Times New Roman"/>
                <w:sz w:val="20"/>
                <w:szCs w:val="20"/>
                <w:lang w:val="en-GB"/>
              </w:rPr>
              <w:t>by</w:t>
            </w:r>
            <w:r w:rsidRPr="00455244">
              <w:rPr>
                <w:rFonts w:ascii="Times New Roman" w:hAnsi="Times New Roman"/>
                <w:sz w:val="20"/>
                <w:szCs w:val="20"/>
                <w:lang w:val="en-GB"/>
              </w:rPr>
              <w:t xml:space="preserve"> many participants. These additional activities referred to education, identification of patients, and (administrative) support for implementation. Whereas some regions achieved reimbursement for all</w:t>
            </w:r>
            <w:r>
              <w:rPr>
                <w:rFonts w:ascii="Times New Roman" w:hAnsi="Times New Roman"/>
                <w:sz w:val="20"/>
                <w:szCs w:val="20"/>
                <w:lang w:val="en-GB"/>
              </w:rPr>
              <w:t xml:space="preserve"> additional</w:t>
            </w:r>
            <w:r w:rsidRPr="00455244">
              <w:rPr>
                <w:rFonts w:ascii="Times New Roman" w:hAnsi="Times New Roman"/>
                <w:sz w:val="20"/>
                <w:szCs w:val="20"/>
                <w:lang w:val="en-GB"/>
              </w:rPr>
              <w:t xml:space="preserve"> activities, other regions did </w:t>
            </w:r>
            <w:r>
              <w:rPr>
                <w:rFonts w:ascii="Times New Roman" w:hAnsi="Times New Roman"/>
                <w:sz w:val="20"/>
                <w:szCs w:val="20"/>
                <w:lang w:val="en-GB"/>
              </w:rPr>
              <w:t xml:space="preserve">receive partial reimbursement or </w:t>
            </w:r>
            <w:proofErr w:type="gramStart"/>
            <w:r>
              <w:rPr>
                <w:rFonts w:ascii="Times New Roman" w:hAnsi="Times New Roman"/>
                <w:sz w:val="20"/>
                <w:szCs w:val="20"/>
                <w:lang w:val="en-GB"/>
              </w:rPr>
              <w:t>none at all</w:t>
            </w:r>
            <w:proofErr w:type="gramEnd"/>
            <w:r w:rsidRPr="00455244">
              <w:rPr>
                <w:rFonts w:ascii="Times New Roman" w:hAnsi="Times New Roman"/>
                <w:sz w:val="20"/>
                <w:szCs w:val="20"/>
                <w:lang w:val="en-GB"/>
              </w:rPr>
              <w:t>.</w:t>
            </w:r>
            <w:r>
              <w:rPr>
                <w:rFonts w:ascii="Times New Roman" w:hAnsi="Times New Roman"/>
                <w:sz w:val="20"/>
                <w:szCs w:val="20"/>
                <w:lang w:val="en-GB"/>
              </w:rPr>
              <w:t xml:space="preserve"> </w:t>
            </w:r>
            <w:r w:rsidRPr="00455244">
              <w:rPr>
                <w:rFonts w:ascii="Times New Roman" w:hAnsi="Times New Roman"/>
                <w:sz w:val="20"/>
                <w:szCs w:val="20"/>
                <w:lang w:val="en-GB"/>
              </w:rPr>
              <w:t xml:space="preserve">Healthcare providers </w:t>
            </w:r>
            <w:r>
              <w:rPr>
                <w:rFonts w:ascii="Times New Roman" w:hAnsi="Times New Roman"/>
                <w:sz w:val="20"/>
                <w:szCs w:val="20"/>
                <w:lang w:val="en-GB"/>
              </w:rPr>
              <w:t xml:space="preserve">reported that they </w:t>
            </w:r>
            <w:r w:rsidRPr="00455244">
              <w:rPr>
                <w:rFonts w:ascii="Times New Roman" w:hAnsi="Times New Roman"/>
                <w:sz w:val="20"/>
                <w:szCs w:val="20"/>
                <w:lang w:val="en-GB"/>
              </w:rPr>
              <w:t>were often unfamiliar with the processes regarding reimbursement and experienced them as complicated. Moreover,</w:t>
            </w:r>
            <w:r>
              <w:rPr>
                <w:rFonts w:ascii="Times New Roman" w:hAnsi="Times New Roman"/>
                <w:sz w:val="20"/>
                <w:szCs w:val="20"/>
                <w:lang w:val="en-GB"/>
              </w:rPr>
              <w:t xml:space="preserve"> several healthcare</w:t>
            </w:r>
            <w:r w:rsidRPr="00455244">
              <w:rPr>
                <w:rFonts w:ascii="Times New Roman" w:hAnsi="Times New Roman"/>
                <w:sz w:val="20"/>
                <w:szCs w:val="20"/>
                <w:lang w:val="en-GB"/>
              </w:rPr>
              <w:t xml:space="preserve"> </w:t>
            </w:r>
            <w:r w:rsidRPr="00455244">
              <w:rPr>
                <w:rFonts w:ascii="Times New Roman" w:hAnsi="Times New Roman"/>
                <w:sz w:val="20"/>
                <w:szCs w:val="20"/>
                <w:lang w:val="en-GB"/>
              </w:rPr>
              <w:lastRenderedPageBreak/>
              <w:t>insur</w:t>
            </w:r>
            <w:r>
              <w:rPr>
                <w:rFonts w:ascii="Times New Roman" w:hAnsi="Times New Roman"/>
                <w:sz w:val="20"/>
                <w:szCs w:val="20"/>
                <w:lang w:val="en-GB"/>
              </w:rPr>
              <w:t>ance companies had different</w:t>
            </w:r>
            <w:r w:rsidRPr="00455244">
              <w:rPr>
                <w:rFonts w:ascii="Times New Roman" w:hAnsi="Times New Roman"/>
                <w:sz w:val="20"/>
                <w:szCs w:val="20"/>
                <w:lang w:val="en-GB"/>
              </w:rPr>
              <w:t xml:space="preserve"> policies regarding if and how reimbursements were arranged</w:t>
            </w:r>
            <w:r>
              <w:rPr>
                <w:rFonts w:ascii="Times New Roman" w:hAnsi="Times New Roman"/>
                <w:sz w:val="20"/>
                <w:szCs w:val="20"/>
                <w:lang w:val="en-GB"/>
              </w:rPr>
              <w:t xml:space="preserve">. A lack of reimbursement for certain activities resulted in some participants refusing to participate in RTAs. </w:t>
            </w:r>
            <w:r w:rsidRPr="00455244">
              <w:rPr>
                <w:rFonts w:ascii="Times New Roman" w:hAnsi="Times New Roman"/>
                <w:sz w:val="20"/>
                <w:szCs w:val="20"/>
                <w:lang w:val="en-GB"/>
              </w:rPr>
              <w:t>A facilitating factor for receiving reimbursement was the presence of a well-organi</w:t>
            </w:r>
            <w:r>
              <w:rPr>
                <w:rFonts w:ascii="Times New Roman" w:hAnsi="Times New Roman"/>
                <w:sz w:val="20"/>
                <w:szCs w:val="20"/>
                <w:lang w:val="en-GB"/>
              </w:rPr>
              <w:t>s</w:t>
            </w:r>
            <w:r w:rsidRPr="00455244">
              <w:rPr>
                <w:rFonts w:ascii="Times New Roman" w:hAnsi="Times New Roman"/>
                <w:sz w:val="20"/>
                <w:szCs w:val="20"/>
                <w:lang w:val="en-GB"/>
              </w:rPr>
              <w:t>ed care group and/or other umbrella organi</w:t>
            </w:r>
            <w:r>
              <w:rPr>
                <w:rFonts w:ascii="Times New Roman" w:hAnsi="Times New Roman"/>
                <w:sz w:val="20"/>
                <w:szCs w:val="20"/>
                <w:lang w:val="en-GB"/>
              </w:rPr>
              <w:t>s</w:t>
            </w:r>
            <w:r w:rsidRPr="00455244">
              <w:rPr>
                <w:rFonts w:ascii="Times New Roman" w:hAnsi="Times New Roman"/>
                <w:sz w:val="20"/>
                <w:szCs w:val="20"/>
                <w:lang w:val="en-GB"/>
              </w:rPr>
              <w:t>ation to support the administrative processes.</w:t>
            </w:r>
          </w:p>
          <w:p w14:paraId="58056C8E" w14:textId="77777777" w:rsidR="007735D1"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 xml:space="preserve">Problems with reimbursement often arose when business cases were developed. Participants reported that the shift of health care consumption, and thus also monetary streams, was a complex part of the business case. This not only required PC to provide additional healthcare but also SC to accept a decline in revenue. </w:t>
            </w:r>
            <w:r>
              <w:rPr>
                <w:rFonts w:ascii="Times New Roman" w:hAnsi="Times New Roman"/>
                <w:sz w:val="20"/>
                <w:szCs w:val="20"/>
                <w:lang w:val="en-GB"/>
              </w:rPr>
              <w:t xml:space="preserve">In addition, one participant reported that the number of patients that ultimately can be </w:t>
            </w:r>
            <w:proofErr w:type="gramStart"/>
            <w:r>
              <w:rPr>
                <w:rFonts w:ascii="Times New Roman" w:hAnsi="Times New Roman"/>
                <w:sz w:val="20"/>
                <w:szCs w:val="20"/>
                <w:lang w:val="en-GB"/>
              </w:rPr>
              <w:t>referred back</w:t>
            </w:r>
            <w:proofErr w:type="gramEnd"/>
            <w:r>
              <w:rPr>
                <w:rFonts w:ascii="Times New Roman" w:hAnsi="Times New Roman"/>
                <w:sz w:val="20"/>
                <w:szCs w:val="20"/>
                <w:lang w:val="en-GB"/>
              </w:rPr>
              <w:t xml:space="preserve"> to each PC clinic is probably limited whereas the additional costs are significant due to the large number of PC providers that need education and to scan their EHR for the identification of patients. However, several participants explicitly mentioned that healthcare insurers were too much focused on the monetary effect and should not forget additional benefits such as improved diagnosis and palliative processes and improved communication between PC and SC.</w:t>
            </w:r>
          </w:p>
          <w:p w14:paraId="632277B9" w14:textId="77777777" w:rsidR="007735D1"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Besides a positive business case, warm relationships and trust between healthcare providers and healthcare insurers were mentioned several times as important factors</w:t>
            </w:r>
            <w:r>
              <w:rPr>
                <w:rFonts w:ascii="Times New Roman" w:hAnsi="Times New Roman"/>
                <w:sz w:val="20"/>
                <w:szCs w:val="20"/>
                <w:lang w:val="en-GB"/>
              </w:rPr>
              <w:t xml:space="preserve"> by both healthcare providers and healthcare insurers</w:t>
            </w:r>
            <w:r w:rsidRPr="00455244">
              <w:rPr>
                <w:rFonts w:ascii="Times New Roman" w:hAnsi="Times New Roman"/>
                <w:sz w:val="20"/>
                <w:szCs w:val="20"/>
                <w:lang w:val="en-GB"/>
              </w:rPr>
              <w:t xml:space="preserve">. Several participants mentioned that they were insecure concerning future reimbursement. </w:t>
            </w:r>
          </w:p>
          <w:p w14:paraId="3C57E2E0" w14:textId="77777777" w:rsidR="007735D1" w:rsidRDefault="007735D1" w:rsidP="007735D1">
            <w:pPr>
              <w:spacing w:line="360" w:lineRule="auto"/>
              <w:jc w:val="both"/>
              <w:rPr>
                <w:rFonts w:ascii="Times New Roman" w:hAnsi="Times New Roman"/>
                <w:sz w:val="20"/>
                <w:szCs w:val="20"/>
                <w:lang w:val="en-GB"/>
              </w:rPr>
            </w:pPr>
          </w:p>
          <w:p w14:paraId="12A79015" w14:textId="77777777" w:rsidR="007735D1" w:rsidRPr="00455244" w:rsidRDefault="007735D1" w:rsidP="007735D1">
            <w:pPr>
              <w:spacing w:line="360" w:lineRule="auto"/>
              <w:jc w:val="both"/>
              <w:rPr>
                <w:rFonts w:ascii="Times New Roman" w:hAnsi="Times New Roman"/>
                <w:b/>
                <w:bCs/>
                <w:sz w:val="20"/>
                <w:szCs w:val="20"/>
                <w:lang w:val="en-GB"/>
              </w:rPr>
            </w:pPr>
            <w:r>
              <w:rPr>
                <w:rFonts w:ascii="Times New Roman" w:hAnsi="Times New Roman"/>
                <w:b/>
                <w:bCs/>
                <w:sz w:val="20"/>
                <w:szCs w:val="20"/>
                <w:lang w:val="en-GB"/>
              </w:rPr>
              <w:t xml:space="preserve">Electronic health record </w:t>
            </w:r>
            <w:r w:rsidRPr="00455244">
              <w:rPr>
                <w:rFonts w:ascii="Times New Roman" w:hAnsi="Times New Roman"/>
                <w:b/>
                <w:bCs/>
                <w:sz w:val="20"/>
                <w:szCs w:val="20"/>
                <w:lang w:val="en-GB"/>
              </w:rPr>
              <w:t xml:space="preserve">systems </w:t>
            </w:r>
          </w:p>
          <w:p w14:paraId="414F2DE6" w14:textId="77777777" w:rsidR="007735D1" w:rsidRPr="00455244" w:rsidRDefault="007735D1" w:rsidP="007735D1">
            <w:pPr>
              <w:spacing w:line="360" w:lineRule="auto"/>
              <w:jc w:val="both"/>
              <w:rPr>
                <w:rFonts w:ascii="Times New Roman" w:hAnsi="Times New Roman"/>
                <w:sz w:val="20"/>
                <w:szCs w:val="20"/>
                <w:lang w:val="en-GB"/>
              </w:rPr>
            </w:pPr>
            <w:r>
              <w:rPr>
                <w:rFonts w:ascii="Times New Roman" w:hAnsi="Times New Roman"/>
                <w:sz w:val="20"/>
                <w:szCs w:val="20"/>
                <w:lang w:val="en-GB"/>
              </w:rPr>
              <w:t xml:space="preserve">The ability to share data </w:t>
            </w:r>
            <w:r w:rsidRPr="00455244">
              <w:rPr>
                <w:rFonts w:ascii="Times New Roman" w:hAnsi="Times New Roman"/>
                <w:sz w:val="20"/>
                <w:szCs w:val="20"/>
                <w:lang w:val="en-GB"/>
              </w:rPr>
              <w:t xml:space="preserve">with professionals in other settings was perceived as a facilitating factor for the implementation of the RTA and improving quality of care. Where data sharing was not possible, participants reported that the lack of interoperability or different EHR systems as a complicating factor. This complicated information exchange between providers and hindered evaluations. </w:t>
            </w:r>
            <w:r>
              <w:rPr>
                <w:rFonts w:ascii="Times New Roman" w:hAnsi="Times New Roman"/>
                <w:sz w:val="20"/>
                <w:szCs w:val="20"/>
                <w:lang w:val="en-GB"/>
              </w:rPr>
              <w:t>Despite these interoperability difficulties, several regions had implemented additional consultation options through which patients could be diagnosed by a cardiologist without transferring patients to the hospital.</w:t>
            </w:r>
          </w:p>
          <w:p w14:paraId="15A0BA35" w14:textId="77777777" w:rsidR="007735D1" w:rsidRPr="0071245A" w:rsidRDefault="007735D1" w:rsidP="007735D1">
            <w:pPr>
              <w:spacing w:line="360" w:lineRule="auto"/>
              <w:jc w:val="both"/>
              <w:rPr>
                <w:rFonts w:ascii="Times New Roman" w:hAnsi="Times New Roman"/>
                <w:sz w:val="20"/>
                <w:szCs w:val="20"/>
                <w:lang w:val="en-GB"/>
              </w:rPr>
            </w:pPr>
            <w:r w:rsidRPr="00455244">
              <w:rPr>
                <w:rFonts w:ascii="Times New Roman" w:hAnsi="Times New Roman"/>
                <w:sz w:val="20"/>
                <w:szCs w:val="20"/>
                <w:lang w:val="en-GB"/>
              </w:rPr>
              <w:t xml:space="preserve">Identification of patients with CHF formed an important aspect of RTAs. This was not limited to the identification of stable patients within SC that may be referred to PC but also </w:t>
            </w:r>
            <w:r>
              <w:rPr>
                <w:rFonts w:ascii="Times New Roman" w:hAnsi="Times New Roman"/>
                <w:sz w:val="20"/>
                <w:szCs w:val="20"/>
                <w:lang w:val="en-GB"/>
              </w:rPr>
              <w:t>referred to</w:t>
            </w:r>
            <w:r w:rsidRPr="00455244">
              <w:rPr>
                <w:rFonts w:ascii="Times New Roman" w:hAnsi="Times New Roman"/>
                <w:sz w:val="20"/>
                <w:szCs w:val="20"/>
                <w:lang w:val="en-GB"/>
              </w:rPr>
              <w:t xml:space="preserve"> undiagnosed patients within PC. Participants noted that time-consuming manual review of patient records was necessary to find a limited number of patients. In some cases, this identification process was supported by a care group or software solutions.</w:t>
            </w:r>
            <w:r>
              <w:rPr>
                <w:rFonts w:ascii="Times New Roman" w:hAnsi="Times New Roman"/>
                <w:sz w:val="20"/>
                <w:szCs w:val="20"/>
                <w:lang w:val="en-GB"/>
              </w:rPr>
              <w:t xml:space="preserve"> For example, a software solution was used to identify certain high-risk patients based on administration codes.</w:t>
            </w:r>
          </w:p>
          <w:p w14:paraId="52143B13" w14:textId="77777777" w:rsidR="007735D1" w:rsidRDefault="007735D1" w:rsidP="007735D1">
            <w:pPr>
              <w:spacing w:line="360" w:lineRule="auto"/>
              <w:jc w:val="both"/>
              <w:rPr>
                <w:rFonts w:ascii="Times New Roman" w:hAnsi="Times New Roman"/>
                <w:b/>
                <w:bCs/>
                <w:sz w:val="20"/>
                <w:szCs w:val="20"/>
                <w:lang w:val="en-GB"/>
              </w:rPr>
            </w:pPr>
          </w:p>
          <w:p w14:paraId="6D2B2E1A" w14:textId="77777777" w:rsidR="007735D1" w:rsidRPr="00455244" w:rsidRDefault="007735D1" w:rsidP="007735D1">
            <w:pPr>
              <w:spacing w:line="360" w:lineRule="auto"/>
              <w:jc w:val="both"/>
              <w:rPr>
                <w:rFonts w:ascii="Times New Roman" w:hAnsi="Times New Roman"/>
                <w:sz w:val="20"/>
                <w:szCs w:val="20"/>
                <w:lang w:val="en-GB"/>
              </w:rPr>
            </w:pPr>
            <w:r w:rsidRPr="00455244">
              <w:rPr>
                <w:rFonts w:ascii="Times New Roman" w:hAnsi="Times New Roman"/>
                <w:b/>
                <w:bCs/>
                <w:sz w:val="20"/>
                <w:szCs w:val="20"/>
                <w:lang w:val="en-GB"/>
              </w:rPr>
              <w:t>Outcomes</w:t>
            </w:r>
            <w:r w:rsidRPr="00455244">
              <w:rPr>
                <w:rFonts w:ascii="Times New Roman" w:hAnsi="Times New Roman"/>
                <w:sz w:val="20"/>
                <w:szCs w:val="20"/>
                <w:lang w:val="en-GB"/>
              </w:rPr>
              <w:t xml:space="preserve"> </w:t>
            </w:r>
          </w:p>
          <w:p w14:paraId="4787E1AD" w14:textId="2B2A7BA9" w:rsidR="007735D1" w:rsidRDefault="007735D1" w:rsidP="007735D1">
            <w:pPr>
              <w:spacing w:line="360" w:lineRule="auto"/>
              <w:jc w:val="both"/>
              <w:rPr>
                <w:rFonts w:ascii="Times New Roman" w:hAnsi="Times New Roman" w:cs="Times New Roman"/>
                <w:b/>
                <w:bCs/>
                <w:lang w:val="en-US"/>
              </w:rPr>
            </w:pPr>
            <w:r w:rsidRPr="00455244">
              <w:rPr>
                <w:rFonts w:ascii="Times New Roman" w:hAnsi="Times New Roman"/>
                <w:sz w:val="20"/>
                <w:szCs w:val="20"/>
                <w:lang w:val="en-GB"/>
              </w:rPr>
              <w:t xml:space="preserve">Most regions performed evaluations on the effects of the RTA. However, the selection of outcome measures were heterogenous. The number of referrals to PC was often evaluated as part of reimbursement agreements and showed different results. Whereas some participants noted that initial targets </w:t>
            </w:r>
            <w:r>
              <w:rPr>
                <w:rFonts w:ascii="Times New Roman" w:hAnsi="Times New Roman"/>
                <w:sz w:val="20"/>
                <w:szCs w:val="20"/>
                <w:lang w:val="en-GB"/>
              </w:rPr>
              <w:t>had been</w:t>
            </w:r>
            <w:r w:rsidRPr="00455244">
              <w:rPr>
                <w:rFonts w:ascii="Times New Roman" w:hAnsi="Times New Roman"/>
                <w:sz w:val="20"/>
                <w:szCs w:val="20"/>
                <w:lang w:val="en-GB"/>
              </w:rPr>
              <w:t xml:space="preserve"> achieved, others reported that initial expectations had been too high. Other outcome measures </w:t>
            </w:r>
            <w:r>
              <w:rPr>
                <w:rFonts w:ascii="Times New Roman" w:hAnsi="Times New Roman"/>
                <w:sz w:val="20"/>
                <w:szCs w:val="20"/>
                <w:lang w:val="en-GB"/>
              </w:rPr>
              <w:t xml:space="preserve">that were part of evaluations </w:t>
            </w:r>
            <w:r w:rsidRPr="00455244">
              <w:rPr>
                <w:rFonts w:ascii="Times New Roman" w:hAnsi="Times New Roman"/>
                <w:sz w:val="20"/>
                <w:szCs w:val="20"/>
                <w:lang w:val="en-GB"/>
              </w:rPr>
              <w:t xml:space="preserve">were process indicators such as the registration of </w:t>
            </w:r>
            <w:r>
              <w:rPr>
                <w:rFonts w:ascii="Times New Roman" w:hAnsi="Times New Roman"/>
                <w:sz w:val="20"/>
                <w:szCs w:val="20"/>
                <w:lang w:val="en-GB"/>
              </w:rPr>
              <w:t>physiological parameters</w:t>
            </w:r>
            <w:r w:rsidRPr="00455244">
              <w:rPr>
                <w:rFonts w:ascii="Times New Roman" w:hAnsi="Times New Roman"/>
                <w:sz w:val="20"/>
                <w:szCs w:val="20"/>
                <w:lang w:val="en-GB"/>
              </w:rPr>
              <w:t xml:space="preserve">. </w:t>
            </w:r>
            <w:r>
              <w:rPr>
                <w:rFonts w:ascii="Times New Roman" w:hAnsi="Times New Roman"/>
                <w:sz w:val="20"/>
                <w:szCs w:val="20"/>
                <w:lang w:val="en-GB"/>
              </w:rPr>
              <w:t>In addition, qualitative e</w:t>
            </w:r>
            <w:r w:rsidRPr="00455244">
              <w:rPr>
                <w:rFonts w:ascii="Times New Roman" w:hAnsi="Times New Roman"/>
                <w:sz w:val="20"/>
                <w:szCs w:val="20"/>
                <w:lang w:val="en-GB"/>
              </w:rPr>
              <w:t xml:space="preserve">valuations were used to identify areas for improvement. Several participants mentioned that data on provider level could be used to guide and motivate PC clinics by providing mirror information. While regions intended to evaluate patient experiences and satisfaction, little information was available. One region reported to struggle with the </w:t>
            </w:r>
            <w:r w:rsidRPr="00455244">
              <w:rPr>
                <w:rFonts w:ascii="Times New Roman" w:hAnsi="Times New Roman"/>
                <w:sz w:val="20"/>
                <w:szCs w:val="20"/>
                <w:lang w:val="en-GB"/>
              </w:rPr>
              <w:lastRenderedPageBreak/>
              <w:t xml:space="preserve">methodological, legal and practical obstacles to retrieve this information. </w:t>
            </w:r>
            <w:r>
              <w:rPr>
                <w:rFonts w:ascii="Times New Roman" w:hAnsi="Times New Roman"/>
                <w:sz w:val="20"/>
                <w:szCs w:val="20"/>
                <w:lang w:val="en-GB"/>
              </w:rPr>
              <w:t>A major hurdle for the collection end evaluation of certain outcomes was the lack of interoperability in EHR systems.</w:t>
            </w:r>
          </w:p>
        </w:tc>
      </w:tr>
    </w:tbl>
    <w:p w14:paraId="3D0F3324" w14:textId="77777777" w:rsidR="007735D1" w:rsidRPr="00691EB5" w:rsidRDefault="007735D1" w:rsidP="007735D1">
      <w:pPr>
        <w:spacing w:after="0" w:line="360" w:lineRule="auto"/>
        <w:jc w:val="both"/>
        <w:rPr>
          <w:rFonts w:ascii="Times New Roman" w:hAnsi="Times New Roman" w:cs="Times New Roman"/>
          <w:b/>
          <w:bCs/>
          <w:lang w:val="en-US"/>
        </w:rPr>
      </w:pPr>
    </w:p>
    <w:sectPr w:rsidR="007735D1" w:rsidRPr="0069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3C"/>
    <w:rsid w:val="00003500"/>
    <w:rsid w:val="00020506"/>
    <w:rsid w:val="00031240"/>
    <w:rsid w:val="000725CB"/>
    <w:rsid w:val="000D4F5C"/>
    <w:rsid w:val="000E4E79"/>
    <w:rsid w:val="001106EA"/>
    <w:rsid w:val="00111C71"/>
    <w:rsid w:val="0013398E"/>
    <w:rsid w:val="00157587"/>
    <w:rsid w:val="00174FB7"/>
    <w:rsid w:val="001923EF"/>
    <w:rsid w:val="001F513C"/>
    <w:rsid w:val="001F5B7A"/>
    <w:rsid w:val="00213D75"/>
    <w:rsid w:val="00230CEE"/>
    <w:rsid w:val="00252D5B"/>
    <w:rsid w:val="002867A9"/>
    <w:rsid w:val="002B6F34"/>
    <w:rsid w:val="002C1839"/>
    <w:rsid w:val="002E0E34"/>
    <w:rsid w:val="002F0F82"/>
    <w:rsid w:val="002F3422"/>
    <w:rsid w:val="0030138D"/>
    <w:rsid w:val="0032391A"/>
    <w:rsid w:val="00336005"/>
    <w:rsid w:val="003A3CF6"/>
    <w:rsid w:val="003A5F6B"/>
    <w:rsid w:val="003E41EE"/>
    <w:rsid w:val="00402DBC"/>
    <w:rsid w:val="004078D2"/>
    <w:rsid w:val="00425962"/>
    <w:rsid w:val="0044123F"/>
    <w:rsid w:val="00464C22"/>
    <w:rsid w:val="00477595"/>
    <w:rsid w:val="004954E5"/>
    <w:rsid w:val="004A39F1"/>
    <w:rsid w:val="004A5B4F"/>
    <w:rsid w:val="004A6C4B"/>
    <w:rsid w:val="004E77F3"/>
    <w:rsid w:val="004F5EDD"/>
    <w:rsid w:val="005041F8"/>
    <w:rsid w:val="00512F2C"/>
    <w:rsid w:val="00514FD1"/>
    <w:rsid w:val="00515541"/>
    <w:rsid w:val="0057612A"/>
    <w:rsid w:val="00582C63"/>
    <w:rsid w:val="005A55FB"/>
    <w:rsid w:val="00627D0E"/>
    <w:rsid w:val="00637235"/>
    <w:rsid w:val="006477CB"/>
    <w:rsid w:val="006652EB"/>
    <w:rsid w:val="00671426"/>
    <w:rsid w:val="00691EB5"/>
    <w:rsid w:val="006923A3"/>
    <w:rsid w:val="006946DC"/>
    <w:rsid w:val="006F056E"/>
    <w:rsid w:val="0071245A"/>
    <w:rsid w:val="00717B91"/>
    <w:rsid w:val="00727E5C"/>
    <w:rsid w:val="007314A2"/>
    <w:rsid w:val="007404EC"/>
    <w:rsid w:val="00755FF7"/>
    <w:rsid w:val="00767191"/>
    <w:rsid w:val="007735D1"/>
    <w:rsid w:val="007F534F"/>
    <w:rsid w:val="00872D3D"/>
    <w:rsid w:val="008B49C5"/>
    <w:rsid w:val="008C1FD6"/>
    <w:rsid w:val="00903883"/>
    <w:rsid w:val="009530D7"/>
    <w:rsid w:val="00954E70"/>
    <w:rsid w:val="00974A1C"/>
    <w:rsid w:val="009764D5"/>
    <w:rsid w:val="009A5970"/>
    <w:rsid w:val="00A32146"/>
    <w:rsid w:val="00A46FF6"/>
    <w:rsid w:val="00A61A08"/>
    <w:rsid w:val="00A62BD7"/>
    <w:rsid w:val="00AB36C8"/>
    <w:rsid w:val="00B12BE9"/>
    <w:rsid w:val="00B13957"/>
    <w:rsid w:val="00B335FA"/>
    <w:rsid w:val="00B44D3B"/>
    <w:rsid w:val="00B50DDC"/>
    <w:rsid w:val="00B615C9"/>
    <w:rsid w:val="00B7445C"/>
    <w:rsid w:val="00BA4BB1"/>
    <w:rsid w:val="00BC25C7"/>
    <w:rsid w:val="00BE5071"/>
    <w:rsid w:val="00BE7352"/>
    <w:rsid w:val="00BF5791"/>
    <w:rsid w:val="00C12BE7"/>
    <w:rsid w:val="00C25F35"/>
    <w:rsid w:val="00C530C4"/>
    <w:rsid w:val="00C6019D"/>
    <w:rsid w:val="00C64E06"/>
    <w:rsid w:val="00CA2553"/>
    <w:rsid w:val="00CE494D"/>
    <w:rsid w:val="00CF0FC8"/>
    <w:rsid w:val="00D0607D"/>
    <w:rsid w:val="00D27D4D"/>
    <w:rsid w:val="00D7143B"/>
    <w:rsid w:val="00D815A9"/>
    <w:rsid w:val="00D81F7A"/>
    <w:rsid w:val="00D86571"/>
    <w:rsid w:val="00D91F36"/>
    <w:rsid w:val="00DB0B7D"/>
    <w:rsid w:val="00DB1A77"/>
    <w:rsid w:val="00DD11C0"/>
    <w:rsid w:val="00DF54C4"/>
    <w:rsid w:val="00E2391E"/>
    <w:rsid w:val="00E37DC8"/>
    <w:rsid w:val="00E57DBF"/>
    <w:rsid w:val="00EC50E2"/>
    <w:rsid w:val="00EE5730"/>
    <w:rsid w:val="00F41570"/>
    <w:rsid w:val="00F6429B"/>
    <w:rsid w:val="00F67408"/>
    <w:rsid w:val="00F92419"/>
    <w:rsid w:val="00F954B8"/>
    <w:rsid w:val="00FC0B74"/>
    <w:rsid w:val="00FC5F89"/>
    <w:rsid w:val="00FC6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2354"/>
  <w15:chartTrackingRefBased/>
  <w15:docId w15:val="{BCFD0F49-5D88-4648-8F38-5A02B40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F0FC8"/>
    <w:rPr>
      <w:sz w:val="16"/>
      <w:szCs w:val="16"/>
    </w:rPr>
  </w:style>
  <w:style w:type="paragraph" w:styleId="Tekstopmerking">
    <w:name w:val="annotation text"/>
    <w:basedOn w:val="Standaard"/>
    <w:link w:val="TekstopmerkingChar"/>
    <w:uiPriority w:val="99"/>
    <w:semiHidden/>
    <w:unhideWhenUsed/>
    <w:rsid w:val="00CF0F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0FC8"/>
    <w:rPr>
      <w:sz w:val="20"/>
      <w:szCs w:val="20"/>
    </w:rPr>
  </w:style>
  <w:style w:type="paragraph" w:styleId="Onderwerpvanopmerking">
    <w:name w:val="annotation subject"/>
    <w:basedOn w:val="Tekstopmerking"/>
    <w:next w:val="Tekstopmerking"/>
    <w:link w:val="OnderwerpvanopmerkingChar"/>
    <w:uiPriority w:val="99"/>
    <w:semiHidden/>
    <w:unhideWhenUsed/>
    <w:rsid w:val="00CF0FC8"/>
    <w:rPr>
      <w:b/>
      <w:bCs/>
    </w:rPr>
  </w:style>
  <w:style w:type="character" w:customStyle="1" w:styleId="OnderwerpvanopmerkingChar">
    <w:name w:val="Onderwerp van opmerking Char"/>
    <w:basedOn w:val="TekstopmerkingChar"/>
    <w:link w:val="Onderwerpvanopmerking"/>
    <w:uiPriority w:val="99"/>
    <w:semiHidden/>
    <w:rsid w:val="00CF0FC8"/>
    <w:rPr>
      <w:b/>
      <w:bCs/>
      <w:sz w:val="20"/>
      <w:szCs w:val="20"/>
    </w:rPr>
  </w:style>
  <w:style w:type="character" w:styleId="Hyperlink">
    <w:name w:val="Hyperlink"/>
    <w:basedOn w:val="Standaardalinea-lettertype"/>
    <w:uiPriority w:val="99"/>
    <w:unhideWhenUsed/>
    <w:rsid w:val="00D27D4D"/>
    <w:rPr>
      <w:color w:val="0563C1" w:themeColor="hyperlink"/>
      <w:u w:val="single"/>
    </w:rPr>
  </w:style>
  <w:style w:type="character" w:styleId="Onopgelostemelding">
    <w:name w:val="Unresolved Mention"/>
    <w:basedOn w:val="Standaardalinea-lettertype"/>
    <w:uiPriority w:val="99"/>
    <w:semiHidden/>
    <w:unhideWhenUsed/>
    <w:rsid w:val="00D27D4D"/>
    <w:rPr>
      <w:color w:val="605E5C"/>
      <w:shd w:val="clear" w:color="auto" w:fill="E1DFDD"/>
    </w:rPr>
  </w:style>
  <w:style w:type="paragraph" w:styleId="Revisie">
    <w:name w:val="Revision"/>
    <w:hidden/>
    <w:uiPriority w:val="99"/>
    <w:semiHidden/>
    <w:rsid w:val="006477CB"/>
    <w:pPr>
      <w:spacing w:after="0" w:line="240" w:lineRule="auto"/>
    </w:pPr>
  </w:style>
  <w:style w:type="table" w:styleId="Tabelraster">
    <w:name w:val="Table Grid"/>
    <w:basedOn w:val="Standaardtabel"/>
    <w:uiPriority w:val="39"/>
    <w:rsid w:val="0077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06BA-F115-4A31-97CD-EED65237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1710</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Auener, Stefan</dc:creator>
  <cp:keywords/>
  <dc:description/>
  <cp:lastModifiedBy>BL</cp:lastModifiedBy>
  <cp:revision>4</cp:revision>
  <dcterms:created xsi:type="dcterms:W3CDTF">2022-09-22T10:54:00Z</dcterms:created>
  <dcterms:modified xsi:type="dcterms:W3CDTF">2022-09-22T10:56:00Z</dcterms:modified>
</cp:coreProperties>
</file>