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4F6E" w14:textId="7359A7F4" w:rsidR="00EA208F" w:rsidRPr="00EA208F" w:rsidRDefault="00EA208F" w:rsidP="00EA208F">
      <w:pPr>
        <w:rPr>
          <w:rFonts w:ascii="Times New Roman" w:hAnsi="Times New Roman" w:cs="Times New Roman"/>
          <w:iCs/>
          <w:sz w:val="24"/>
          <w:lang w:val="en-GB"/>
        </w:rPr>
      </w:pPr>
      <w:r w:rsidRPr="00EA208F">
        <w:rPr>
          <w:rFonts w:ascii="Times New Roman" w:hAnsi="Times New Roman" w:cs="Times New Roman"/>
          <w:b/>
          <w:bCs/>
          <w:iCs/>
          <w:sz w:val="24"/>
          <w:lang w:val="en-GB"/>
        </w:rPr>
        <w:t xml:space="preserve">Tab. </w:t>
      </w:r>
      <w:proofErr w:type="spellStart"/>
      <w:r w:rsidRPr="00EA208F">
        <w:rPr>
          <w:rFonts w:ascii="Times New Roman" w:hAnsi="Times New Roman" w:cs="Times New Roman"/>
          <w:b/>
          <w:bCs/>
          <w:iCs/>
          <w:sz w:val="24"/>
          <w:lang w:val="en-GB"/>
        </w:rPr>
        <w:t>S1</w:t>
      </w:r>
      <w:proofErr w:type="spellEnd"/>
      <w:r w:rsidRPr="00EA208F">
        <w:rPr>
          <w:rFonts w:ascii="Times New Roman" w:hAnsi="Times New Roman" w:cs="Times New Roman"/>
          <w:iCs/>
          <w:sz w:val="24"/>
          <w:lang w:val="en-GB"/>
        </w:rPr>
        <w:t xml:space="preserve"> Angiographic and clinical endpoint definitions</w:t>
      </w:r>
    </w:p>
    <w:p w14:paraId="0BD97BB6" w14:textId="47F8DE99" w:rsidR="00EA208F" w:rsidRDefault="00EA208F" w:rsidP="00EA208F">
      <w:pPr>
        <w:spacing w:line="360" w:lineRule="auto"/>
        <w:jc w:val="both"/>
        <w:rPr>
          <w:rFonts w:ascii="Times New Roman" w:hAnsi="Times New Roman" w:cs="Times New Roman"/>
          <w:lang w:val="en-GB"/>
        </w:rPr>
      </w:pPr>
      <w:r>
        <w:rPr>
          <w:noProof/>
          <w:lang w:val="en-GB"/>
        </w:rPr>
        <mc:AlternateContent>
          <mc:Choice Requires="wps">
            <w:drawing>
              <wp:anchor distT="0" distB="0" distL="114300" distR="114300" simplePos="0" relativeHeight="251659264" behindDoc="0" locked="0" layoutInCell="1" allowOverlap="1" wp14:anchorId="51B85897" wp14:editId="693F786F">
                <wp:simplePos x="0" y="0"/>
                <wp:positionH relativeFrom="column">
                  <wp:posOffset>-26338</wp:posOffset>
                </wp:positionH>
                <wp:positionV relativeFrom="paragraph">
                  <wp:posOffset>71793</wp:posOffset>
                </wp:positionV>
                <wp:extent cx="6168788" cy="6134669"/>
                <wp:effectExtent l="0" t="0" r="22860" b="19050"/>
                <wp:wrapNone/>
                <wp:docPr id="1" name="Tekstvak 1"/>
                <wp:cNvGraphicFramePr/>
                <a:graphic xmlns:a="http://schemas.openxmlformats.org/drawingml/2006/main">
                  <a:graphicData uri="http://schemas.microsoft.com/office/word/2010/wordprocessingShape">
                    <wps:wsp>
                      <wps:cNvSpPr txBox="1"/>
                      <wps:spPr>
                        <a:xfrm>
                          <a:off x="0" y="0"/>
                          <a:ext cx="6168788" cy="6134669"/>
                        </a:xfrm>
                        <a:prstGeom prst="rect">
                          <a:avLst/>
                        </a:prstGeom>
                        <a:solidFill>
                          <a:schemeClr val="lt1"/>
                        </a:solidFill>
                        <a:ln w="6350">
                          <a:solidFill>
                            <a:prstClr val="black"/>
                          </a:solidFill>
                        </a:ln>
                      </wps:spPr>
                      <wps:txbx>
                        <w:txbxContent>
                          <w:p w14:paraId="58FAE052" w14:textId="2DEB5039" w:rsidR="00EA208F" w:rsidRPr="003F6F37" w:rsidRDefault="00EA208F" w:rsidP="00EA208F">
                            <w:pPr>
                              <w:spacing w:line="360" w:lineRule="auto"/>
                              <w:jc w:val="both"/>
                              <w:rPr>
                                <w:rFonts w:ascii="Times New Roman" w:hAnsi="Times New Roman" w:cs="Times New Roman"/>
                                <w:lang w:val="en-GB"/>
                              </w:rPr>
                            </w:pPr>
                            <w:r w:rsidRPr="003F6F37">
                              <w:rPr>
                                <w:rFonts w:ascii="Times New Roman" w:hAnsi="Times New Roman" w:cs="Times New Roman"/>
                                <w:lang w:val="en-GB"/>
                              </w:rPr>
                              <w:t xml:space="preserve">A CTO was defined as complete obstruction of the coronary arteries for at least three months (based on clinical and coronary angiography findings) with a </w:t>
                            </w:r>
                            <w:proofErr w:type="spellStart"/>
                            <w:r w:rsidRPr="003F6F37">
                              <w:rPr>
                                <w:rFonts w:ascii="Times New Roman" w:hAnsi="Times New Roman" w:cs="Times New Roman"/>
                                <w:lang w:val="en-GB"/>
                              </w:rPr>
                              <w:t>Trombolysis</w:t>
                            </w:r>
                            <w:proofErr w:type="spellEnd"/>
                            <w:r w:rsidRPr="003F6F37">
                              <w:rPr>
                                <w:rFonts w:ascii="Times New Roman" w:hAnsi="Times New Roman" w:cs="Times New Roman"/>
                                <w:lang w:val="en-GB"/>
                              </w:rPr>
                              <w:t xml:space="preserve"> in Myocardial Infarction (</w:t>
                            </w:r>
                            <w:proofErr w:type="spellStart"/>
                            <w:r w:rsidRPr="003F6F37">
                              <w:rPr>
                                <w:rFonts w:ascii="Times New Roman" w:hAnsi="Times New Roman" w:cs="Times New Roman"/>
                                <w:lang w:val="en-GB"/>
                              </w:rPr>
                              <w:t>TIMI</w:t>
                            </w:r>
                            <w:proofErr w:type="spellEnd"/>
                            <w:r w:rsidRPr="003F6F37">
                              <w:rPr>
                                <w:rFonts w:ascii="Times New Roman" w:hAnsi="Times New Roman" w:cs="Times New Roman"/>
                                <w:lang w:val="en-GB"/>
                              </w:rPr>
                              <w:t>) grade 0 antegrade flow. Complexity of the CTO lesion was</w:t>
                            </w:r>
                            <w:r>
                              <w:rPr>
                                <w:rFonts w:ascii="Times New Roman" w:hAnsi="Times New Roman" w:cs="Times New Roman"/>
                                <w:lang w:val="en-GB"/>
                              </w:rPr>
                              <w:t xml:space="preserve"> assessed by the J-CTO score</w:t>
                            </w:r>
                            <w:r w:rsidR="00B85010">
                              <w:rPr>
                                <w:rFonts w:ascii="Times New Roman" w:hAnsi="Times New Roman" w:cs="Times New Roman"/>
                                <w:lang w:val="en-GB"/>
                              </w:rPr>
                              <w:t xml:space="preserve"> [</w:t>
                            </w:r>
                            <w:r w:rsidRPr="00B85010">
                              <w:rPr>
                                <w:rFonts w:ascii="Times New Roman" w:hAnsi="Times New Roman" w:cs="Times New Roman"/>
                                <w:lang w:val="en-GB"/>
                              </w:rPr>
                              <w:fldChar w:fldCharType="begin" w:fldLock="1"/>
                            </w:r>
                            <w:r w:rsidRPr="00B85010">
                              <w:rPr>
                                <w:rFonts w:ascii="Times New Roman" w:hAnsi="Times New Roman" w:cs="Times New Roman"/>
                                <w:lang w:val="en-GB"/>
                              </w:rPr>
                              <w:instrText>ADDIN CSL_CITATION {"citationItems":[{"id":"ITEM-1","itemData":{"DOI":"10.1016/j.jacc.2016.07.744","ISSN":"15583597","PMID":"27712774","abstract":"Background In 10% to 15% of patients with ST-segment elevation myocardial infarction (STEMI), concurrent coronary chronic total occlusion (CTO) in a non–infarct-related artery is present and is associated with increased morbidity and mortality. Objectives The EXPLORE (Evaluating Xience and Left Ventricular Function in Percutaneous Coronary Intervention on Occlusions After ST-Elevation Myocardial Infarction) trial evaluated whether patients with STEMI and concurrent CTO in a non–infarct-related artery benefit from additional percutaneous coronary intervention (PCI) of CTO shortly after primary PCI. Methods From November 2007 through April 2015, we enrolled 304 patients with acute STEMI who underwent primary PCI and had concurrent CTO in 14 centers in Europe and Canada. A total of 150 patients were randomly assigned to early PCI of the CTO (CTO PCI), and 154 patients were assigned to conservative treatment without PCI of the CTO (no CTO PCI). Primary outcomes were left ventricular ejection fraction (LVEF) and left ventricular end diastolic volume (LVEDV) on cardiac magnetic resonance imaging after 4 months. Results The investigator-reported procedural success rate in the CTO PCI arm of the trial was 77%, and the adjudicated success rate was 73%. At 4 months, mean LVEF did not differ between the 2 groups (44.1 ± 12.2% vs. 44.8 ± 11.9%, respectively; p = 0.60). Mean LVEDV at 4 months was 215.6 ± 62.5 ml in the CTO PCI arm versus 212.8 ± 60.3 ml in the no–CTO PCI arm (p = 0.70). Subgroup analysis revealed that patients with CTO located in the left anterior descending coronary artery who were randomized to the CTO PCI strategy had significantly higher LVEF compared with patients randomized to the no–CTO PCI strategy (47.2 ± 12.3% vs. 40.4 ± 11.9%; p = 0.02). There were no differences in terms of 4-month major adverse coronary events (5.4% vs. 2.6%; p = 0.25). Conclusions Additional CTO PCI within 1 week after primary PCI for STEMI was feasible and safe. In patients with STEMI and concurrent CTO, we did not find an overall benefit for CTO PCI in terms of LVEF or LVEDV. The finding that early CTO PCI in the left anterior descending coronary artery subgroup was beneficial warrants further investigation. (Evaluating Xience and Left Ventricular Function in Percutaneous Coronary Intervention on Occlusions After ST-Segment Elevation Myocardial Infarction; NTR1108)","author":[{"dropping-particle":"","family":"Henriques","given":"José P.S.","non-dropping-particle":"","parse-names":false,"suffix":""},{"dropping-particle":"","family":"Hoebers","given":"Loes P.","non-dropping-particle":"","parse-names":false,"suffix":""},{"dropping-particle":"","family":"Råmunddal","given":"Truls","non-dropping-particle":"","parse-names":false,"suffix":""},{"dropping-particle":"","family":"Laanmets","given":"Peep","non-dropping-particle":"","parse-names":false,"suffix":""},{"dropping-particle":"","family":"Eriksen","given":"Erlend","non-dropping-particle":"","parse-names":false,"suffix":""},{"dropping-particle":"","family":"Bax","given":"Matthijs","non-dropping-particle":"","parse-names":false,"suffix":""},{"dropping-particle":"","family":"Ioanes","given":"Dan","non-dropping-particle":"","parse-names":false,"suffix":""},{"dropping-particle":"","family":"Suttorp","given":"Maarten J.","non-dropping-particle":"","parse-names":false,"suffix":""},{"dropping-particle":"","family":"Strauss","given":"Bradley H.","non-dropping-particle":"","parse-names":false,"suffix":""},{"dropping-particle":"","family":"Barbato","given":"Emanuele","non-dropping-particle":"","parse-names":false,"suffix":""},{"dropping-particle":"","family":"Nijveldt","given":"Robin","non-dropping-particle":"","parse-names":false,"suffix":""},{"dropping-particle":"","family":"Rossum","given":"Albert C.","non-dropping-particle":"van","parse-names":false,"suffix":""},{"dropping-particle":"","family":"Marques","given":"Koen M.","non-dropping-particle":"","parse-names":false,"suffix":""},{"dropping-particle":"","family":"Elias","given":"Joëlle","non-dropping-particle":"","parse-names":false,"suffix":""},{"dropping-particle":"","family":"Dongen","given":"Ivo M.","non-dropping-particle":"van","parse-names":false,"suffix":""},{"dropping-particle":"","family":"Claessen","given":"Bimmer E.P.M.","non-dropping-particle":"","parse-names":false,"suffix":""},{"dropping-particle":"","family":"Tijssen","given":"Jan G.","non-dropping-particle":"","parse-names":false,"suffix":""},{"dropping-particle":"","family":"Schaaf","given":"René J.","non-dropping-particle":"van der","parse-names":false,"suffix":""},{"dropping-particle":"","family":"Schaaf","given":"Rene","non-dropping-particle":"van der","parse-names":false,"suffix":""},{"dropping-particle":"","family":"Tijssen","given":"Jan G.P.","non-dropping-particle":"","parse-names":false,"suffix":""},{"dropping-particle":"","family":"Zijlstra","given":"Felix","non-dropping-particle":"","parse-names":false,"suffix":""},{"dropping-particle":"","family":"Boer","given":"Menko Jan","non-dropping-particle":"de","parse-names":false,"suffix":""},{"dropping-particle":"","family":"Michels","given":"Rolf","non-dropping-particle":"","parse-names":false,"suffix":""},{"dropping-particle":"","family":"Meuwissen","given":"Martijn","non-dropping-particle":"","parse-names":false,"suffix":""},{"dropping-particle":"","family":"Agostoni","given":"Pierfrancesco","non-dropping-particle":"","parse-names":false,"suffix":""},{"dropping-particle":"","family":"Houwelingen","given":"K. Gert","non-dropping-particle":"van","parse-names":false,"suffix":""},{"dropping-particle":"","family":"Verberne","given":"Hein J.","non-dropping-particle":"","parse-names":false,"suffix":""},{"dropping-particle":"","family":"Hirsch","given":"Alexander","non-dropping-particle":"","parse-names":false,"suffix":""},{"dropping-particle":"","family":"Piek","given":"Jan J.","non-dropping-particle":"","parse-names":false,"suffix":""},{"dropping-particle":"","family":"Winter","given":"Robbert J.","non-dropping-particle":"de","parse-names":false,"suffix":""},{"dropping-particle":"","family":"Koch","given":"Karel T.","non-dropping-particle":"","parse-names":false,"suffix":""},{"dropping-particle":"","family":"Vis","given":"Marije M.","non-dropping-particle":"","parse-names":false,"suffix":""},{"dropping-particle":"","family":"Baan","given":"Jan","non-dropping-particle":"","parse-names":false,"suffix":""},{"dropping-particle":"","family":"Wykrzykowska","given":"Joanna","non-dropping-particle":"","parse-names":false,"suffix":""},{"dropping-particle":"","family":"Råmunddal","given":"Truls","non-dropping-particle":"","parse-names":false,"suffix":""},{"dropping-particle":"","family":"Ioanes","given":"Dan","non-dropping-particle":"","parse-names":false,"suffix":""},{"dropping-particle":"","family":"Laanmets","given":"Peep","non-dropping-particle":"","parse-names":false,"suffix":""},{"dropping-particle":"","family":"Schaaf","given":"René J.","non-dropping-particle":"van der","parse-names":false,"suffix":""},{"dropping-particle":"","family":"Slagboom","given":"Ton","non-dropping-particle":"","parse-names":false,"suffix":""},{"dropping-particle":"","family":"Amoroso","given":"Giovanni","non-dropping-particle":"","parse-names":false,"suffix":""},{"dropping-particle":"","family":"Eriksen","given":"Erlend","non-dropping-particle":"","parse-names":false,"suffix":""},{"dropping-particle":"","family":"Tuseth","given":"Vegard","non-dropping-particle":"","parse-names":false,"suffix":""},{"dropping-particle":"","family":"Bax","given":"Matthijs","non-dropping-particle":"","parse-names":false,"suffix":""},{"dropping-particle":"","family":"Schotborgh","given":"Carl E.","non-dropping-particle":"","parse-names":false,"suffix":""},{"dropping-particle":"","family":"Suttorp","given":"Maarten J.","non-dropping-particle":"","parse-names":false,"suffix":""},{"dropping-particle":"","family":"Marques","given":"Koen M.","non-dropping-particle":"","parse-names":false,"suffix":""},{"dropping-particle":"","family":"Bertrand","given":"Olivier","non-dropping-particle":"","parse-names":false,"suffix":""},{"dropping-particle":"","family":"Meuwissen","given":"Martijn","non-dropping-particle":"","parse-names":false,"suffix":""},{"dropping-particle":"","family":"Ent","given":"Martin","non-dropping-particle":"van der","parse-names":false,"suffix":""},{"dropping-particle":"","family":"Koolen","given":"Jacques","non-dropping-particle":"","parse-names":false,"suffix":""}],"container-title":"Journal of the American College of Cardiology","id":"ITEM-1","issue":"15","issued":{"date-parts":[["2016","10","11"]]},"page":"1622-1632","publisher":"J Am Coll Cardiol","title":"Percutaneous Intervention for Concurrent Chronic Total Occlusions in Patients With STEMI: The EXPLORE Trial","type":"article-journal","volume":"68"},"uris":["http://www.mendeley.com/documents/?uuid=48112745-6593-3346-ba9c-0a467a8c227e"]}],"mendeley":{"formattedCitation":"&lt;sup&gt;7&lt;/sup&gt;","plainTextFormattedCitation":"7","previouslyFormattedCitation":"(7)"},"properties":{"noteIndex":0},"schema":"https://github.com/citation-style-language/schema/raw/master/csl-citation.json"}</w:instrText>
                            </w:r>
                            <w:r w:rsidRPr="00B85010">
                              <w:rPr>
                                <w:rFonts w:ascii="Times New Roman" w:hAnsi="Times New Roman" w:cs="Times New Roman"/>
                                <w:lang w:val="en-GB"/>
                              </w:rPr>
                              <w:fldChar w:fldCharType="separate"/>
                            </w:r>
                            <w:r w:rsidRPr="00B85010">
                              <w:rPr>
                                <w:rFonts w:ascii="Times New Roman" w:hAnsi="Times New Roman" w:cs="Times New Roman"/>
                                <w:noProof/>
                                <w:lang w:val="en-GB"/>
                              </w:rPr>
                              <w:t>7</w:t>
                            </w:r>
                            <w:r w:rsidRPr="00B85010">
                              <w:rPr>
                                <w:rFonts w:ascii="Times New Roman" w:hAnsi="Times New Roman" w:cs="Times New Roman"/>
                                <w:lang w:val="en-GB"/>
                              </w:rPr>
                              <w:fldChar w:fldCharType="end"/>
                            </w:r>
                            <w:r w:rsidR="00B85010">
                              <w:rPr>
                                <w:rFonts w:ascii="Times New Roman" w:hAnsi="Times New Roman" w:cs="Times New Roman"/>
                                <w:lang w:val="en-GB"/>
                              </w:rPr>
                              <w:t>].</w:t>
                            </w:r>
                            <w:r w:rsidRPr="003F6F37">
                              <w:rPr>
                                <w:rFonts w:ascii="Times New Roman" w:hAnsi="Times New Roman" w:cs="Times New Roman"/>
                                <w:lang w:val="en-GB"/>
                              </w:rPr>
                              <w:t xml:space="preserve"> Occlusion length was estimated from the index angiographic images in patients with bilateral approach or after recanalization and balloon inflation in procedures with single access approach. The degree of collateral size was classified according to the Werner classification of collateral size (CC classification). The degree of calcification was estimated on angiographic images without contrast injection in the coronaries. Angiographic success was defined as recovery of </w:t>
                            </w:r>
                            <w:proofErr w:type="spellStart"/>
                            <w:r w:rsidRPr="003F6F37">
                              <w:rPr>
                                <w:rFonts w:ascii="Times New Roman" w:hAnsi="Times New Roman" w:cs="Times New Roman"/>
                                <w:lang w:val="en-GB"/>
                              </w:rPr>
                              <w:t>TIMI</w:t>
                            </w:r>
                            <w:proofErr w:type="spellEnd"/>
                            <w:r w:rsidRPr="003F6F37">
                              <w:rPr>
                                <w:rFonts w:ascii="Times New Roman" w:hAnsi="Times New Roman" w:cs="Times New Roman"/>
                                <w:lang w:val="en-GB"/>
                              </w:rPr>
                              <w:t xml:space="preserve"> III grade antegrade flow in the target vessel and ≤ 30% residual stenosis of the target segment. </w:t>
                            </w:r>
                          </w:p>
                          <w:p w14:paraId="67E797B6" w14:textId="7781467F" w:rsidR="00EA208F" w:rsidRPr="00EA208F" w:rsidRDefault="00EA208F" w:rsidP="00EA208F">
                            <w:pPr>
                              <w:spacing w:line="360" w:lineRule="auto"/>
                              <w:rPr>
                                <w:rFonts w:ascii="Times New Roman" w:hAnsi="Times New Roman" w:cs="Times New Roman"/>
                                <w:lang w:val="en-GB"/>
                              </w:rPr>
                            </w:pPr>
                            <w:r w:rsidRPr="00EA208F">
                              <w:rPr>
                                <w:rFonts w:ascii="Times New Roman" w:hAnsi="Times New Roman" w:cs="Times New Roman"/>
                                <w:lang w:val="en-GB"/>
                              </w:rPr>
                              <w:tab/>
                            </w:r>
                            <w:r w:rsidRPr="003F6F37">
                              <w:rPr>
                                <w:rFonts w:ascii="Times New Roman" w:hAnsi="Times New Roman" w:cs="Times New Roman"/>
                                <w:lang w:val="en-GB"/>
                              </w:rPr>
                              <w:t xml:space="preserve">Angina complaints were defined following the Canadian Cardiovascular Society grading of angina pectoris (CCS) classification. Periprocedural complications included bleeding, MI, coronary perforation leading to cardiac tamponade or additional intervention, target or donor vessel dissection leading to additional intervention, cardiovascular death and cardiac arrhythmia. Minor bleeding was defined as a Bleeding Academic Research Consortium (BARC) score of 0-2 and major bleeding as a BARC score ≥ </w:t>
                            </w:r>
                            <w:proofErr w:type="spellStart"/>
                            <w:r w:rsidRPr="003F6F37">
                              <w:rPr>
                                <w:rFonts w:ascii="Times New Roman" w:hAnsi="Times New Roman" w:cs="Times New Roman"/>
                                <w:lang w:val="en-GB"/>
                              </w:rPr>
                              <w:t>3a</w:t>
                            </w:r>
                            <w:proofErr w:type="spellEnd"/>
                            <w:r w:rsidRPr="003F6F37">
                              <w:rPr>
                                <w:rFonts w:ascii="Times New Roman" w:hAnsi="Times New Roman" w:cs="Times New Roman"/>
                                <w:lang w:val="en-GB"/>
                              </w:rPr>
                              <w:t xml:space="preserve"> including cardiac tamponade. Periprocedural/in-hospital MI were defined if at least two of the three following criteria were met: 1) prolonged chest pain ≥ 20 minutes, 2) enzyme changes (more than double the upper limits of Creatinine kinase (CK), CK-MB, or Relative Index, 3) ST-T-wave changes or new Q-waves on serial ECGs indicative of myocardial damage. Myocardial infarction during follow-up was defined as following the latest ESC guideline ‘Definition of M</w:t>
                            </w:r>
                            <w:r>
                              <w:rPr>
                                <w:rFonts w:ascii="Times New Roman" w:hAnsi="Times New Roman" w:cs="Times New Roman"/>
                                <w:lang w:val="en-GB"/>
                              </w:rPr>
                              <w:t>yocardial Infarction (2018)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10.1161/CIR.0000000000000617","ISSN":"15244539","PMID":"30571511","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Corbett","given":"Simon","non-dropping-particle":"","parse-names":false,"suffix":""},{"dropping-particle":"","family":"Chettibi","given":"Mohamed","non-dropping-particle":"","parse-names":false,"suffix":""},{"dropping-particle":"","family":"Hayrapetyan","given":"Hamlet","non-dropping-particle":"","parse-names":false,"suffix":""},{"dropping-particle":"","family":"Roithinger","given":"Franz Xaver","non-dropping-particle":"","parse-names":false,"suffix":""},{"dropping-particle":"","family":"Aliyev","given":"Farid","non-dropping-particle":"","parse-names":false,"suffix":""},{"dropping-particle":"","family":"Sujayeva","given":"Volha","non-dropping-particle":"","parse-names":false,"suffix":""},{"dropping-particle":"","family":"Claeys","given":"Marc J.","non-dropping-particle":"","parse-names":false,"suffix":""},{"dropping-particle":"","family":"Smajić","given":"Elnur","non-dropping-particle":"","parse-names":false,"suffix":""},{"dropping-particle":"","family":"Kala","given":"Petr","non-dropping-particle":"","parse-names":false,"suffix":""},{"dropping-particle":"","family":"Iversen","given":"Kasper Karmak","non-dropping-particle":"","parse-names":false,"suffix":""},{"dropping-particle":"El","family":"Hefny","given":"Ehab","non-dropping-particle":"","parse-names":false,"suffix":""},{"dropping-particle":"","family":"Marandi","given":"Toomas","non-dropping-particle":"","parse-names":false,"suffix":""},{"dropping-particle":"","family":"Porela","given":"Pekka","non-dropping-particle":"","parse-names":false,"suffix":""},{"dropping-particle":"","family":"Antov","given":"Slobodan","non-dropping-particle":"","parse-names":false,"suffix":""},{"dropping-particle":"","family":"Gilard","given":"Martine","non-dropping-particle":"","parse-names":false,"suffix":""},{"dropping-particle":"","family":"Blankenberg","given":"Stefan","non-dropping-particle":"","parse-names":false,"suffix":""},{"dropping-particle":"","family":"Davlouros","given":"Periklis","non-dropping-particle":"","parse-names":false,"suffix":""},{"dropping-particle":"","family":"Gudnason","given":"Thorarinn","non-dropping-particle":"","parse-names":false,"suffix":""},{"dropping-particle":"","family":"Alcalai","given":"Ronny","non-dropping-particle":"","parse-names":false,"suffix":""},{"dropping-particle":"","family":"Colivicchi","given":"Furio","non-dropping-particle":"","parse-names":false,"suffix":""},{"dropping-particle":"","family":"Elezi","given":"Shpend","non-dropping-particle":"","parse-names":false,"suffix":""},{"dropping-particle":"","family":"Baitova","given":"Gulmira","non-dropping-particle":"","parse-names":false,"suffix":""},{"dropping-particle":"","family":"Zakke","given":"Ilja","non-dropping-particle":"","parse-names":false,"suffix":""},{"dropping-particle":"","family":"Gustiene","given":"Olivija","non-dropping-particle":"","parse-names":false,"suffix":""},{"dropping-particle":"","family":"Beissel","given":"Jean","non-dropping-particle":"","parse-names":false,"suffix":""},{"dropping-particle":"","family":"Dingli","given":"Philip","non-dropping-particle":"","parse-names":false,"suffix":""},{"dropping-particle":"","family":"Grosu","given":"Aurel","non-dropping-particle":"","parse-names":false,"suffix":""},{"dropping-particle":"","family":"Damman","given":"Peter","non-dropping-particle":"","parse-names":false,"suffix":""},{"dropping-particle":"","family":"Juliebo","given":"Vibeke","non-dropping-particle":"","parse-names":false,"suffix":""},{"dropping-particle":"","family":"Legutko","given":"Jacek","non-dropping-particle":"","parse-names":false,"suffix":""},{"dropping-particle":"","family":"Morais","given":"Joäo","non-dropping-particle":"","parse-names":false,"suffix":""},{"dropping-particle":"","family":"Tatu-Chitoiu","given":"Gabriel","non-dropping-particle":"","parse-names":false,"suffix":""},{"dropping-particle":"","family":"Yakovlev","given":"Alexey","non-dropping-particle":"","parse-names":false,"suffix":""},{"dropping-particle":"","family":"Zavatta","given":"Marco","non-dropping-particle":"","parse-names":false,"suffix":""},{"dropping-particle":"","family":"Nedeljkovic","given":"Milan","non-dropping-particle":"","parse-names":false,"suffix":""},{"dropping-particle":"","family":"Radsel","given":"Peter","non-dropping-particle":"","parse-names":false,"suffix":""},{"dropping-particle":"","family":"Sionis","given":"Alessandro","non-dropping-particle":"","parse-names":false,"suffix":""},{"dropping-particle":"","family":"Jemberg","given":"Tomas","non-dropping-particle":"","parse-names":false,"suffix":""},{"dropping-particle":"","family":"Müller","given":"Christian","non-dropping-particle":"","parse-names":false,"suffix":""},{"dropping-particle":"","family":"Abid","given":"Leila","non-dropping-particle":"","parse-names":false,"suffix":""},{"dropping-particle":"","family":"Abaci","given":"Adnan","non-dropping-particle":"","parse-names":false,"suffix":""},{"dropping-particle":"","family":"Parkhomenko","given":"Alexandr","non-dropping-particle":"","parse-names":false,"suffix":""}],"container-title":"Circulation","id":"ITEM-1","issue":"20","issued":{"date-parts":[["2018","11","13"]]},"page":"e618-e651","publisher":"Circulation","title":"Fourth Universal Definition of Myocardial Infarction (2018)","type":"article-journal","volume":"138"},"uris":["http://www.mendeley.com/documents/?uuid=c3fa08e7-c497-3d1c-af41-1c0a33d25c6a"]}],"mendeley":{"formattedCitation":"&lt;sup&gt;11&lt;/sup&gt;","plainTextFormattedCitation":"11","previouslyFormattedCitation":"(11)"},"properties":{"noteIndex":0},"schema":"https://github.com/citation-style-language/schema/raw/master/csl-citation.json"}</w:instrText>
                            </w:r>
                            <w:r>
                              <w:rPr>
                                <w:rFonts w:ascii="Times New Roman" w:hAnsi="Times New Roman" w:cs="Times New Roman"/>
                                <w:lang w:val="en-GB"/>
                              </w:rPr>
                              <w:fldChar w:fldCharType="separate"/>
                            </w:r>
                            <w:r w:rsidRPr="00EA208F">
                              <w:rPr>
                                <w:rFonts w:ascii="Times New Roman" w:hAnsi="Times New Roman" w:cs="Times New Roman"/>
                                <w:lang w:val="en-GB"/>
                              </w:rPr>
                              <w:t>11</w:t>
                            </w:r>
                            <w:r>
                              <w:rPr>
                                <w:rFonts w:ascii="Times New Roman" w:hAnsi="Times New Roman" w:cs="Times New Roman"/>
                                <w:lang w:val="en-GB"/>
                              </w:rPr>
                              <w:fldChar w:fldCharType="end"/>
                            </w:r>
                            <w:r>
                              <w:rPr>
                                <w:rFonts w:ascii="Times New Roman" w:hAnsi="Times New Roman" w:cs="Times New Roman"/>
                                <w:lang w:val="en-GB"/>
                              </w:rPr>
                              <w:t>].</w:t>
                            </w:r>
                            <w:r w:rsidRPr="003F6F37">
                              <w:rPr>
                                <w:rFonts w:ascii="Times New Roman" w:hAnsi="Times New Roman" w:cs="Times New Roman"/>
                                <w:lang w:val="en-GB"/>
                              </w:rPr>
                              <w:t xml:space="preserve"> Target vessel </w:t>
                            </w:r>
                            <w:proofErr w:type="spellStart"/>
                            <w:r w:rsidRPr="003F6F37">
                              <w:rPr>
                                <w:rFonts w:ascii="Times New Roman" w:hAnsi="Times New Roman" w:cs="Times New Roman"/>
                                <w:lang w:val="en-GB"/>
                              </w:rPr>
                              <w:t>revascularization</w:t>
                            </w:r>
                            <w:proofErr w:type="spellEnd"/>
                            <w:r w:rsidRPr="003F6F37">
                              <w:rPr>
                                <w:rFonts w:ascii="Times New Roman" w:hAnsi="Times New Roman" w:cs="Times New Roman"/>
                                <w:lang w:val="en-GB"/>
                              </w:rPr>
                              <w:t xml:space="preserve"> (</w:t>
                            </w:r>
                            <w:proofErr w:type="spellStart"/>
                            <w:r w:rsidRPr="003F6F37">
                              <w:rPr>
                                <w:rFonts w:ascii="Times New Roman" w:hAnsi="Times New Roman" w:cs="Times New Roman"/>
                                <w:lang w:val="en-GB"/>
                              </w:rPr>
                              <w:t>TVR</w:t>
                            </w:r>
                            <w:proofErr w:type="spellEnd"/>
                            <w:r w:rsidRPr="003F6F37">
                              <w:rPr>
                                <w:rFonts w:ascii="Times New Roman" w:hAnsi="Times New Roman" w:cs="Times New Roman"/>
                                <w:lang w:val="en-GB"/>
                              </w:rPr>
                              <w:t xml:space="preserve">) was defined as any unplanned PCI or surgical bypass of any segment of the target vessel. Major adverse cardiac events (MACE) was defined as composite of myocardial infarction, </w:t>
                            </w:r>
                            <w:proofErr w:type="spellStart"/>
                            <w:r w:rsidRPr="003F6F37">
                              <w:rPr>
                                <w:rFonts w:ascii="Times New Roman" w:hAnsi="Times New Roman" w:cs="Times New Roman"/>
                                <w:lang w:val="en-GB"/>
                              </w:rPr>
                              <w:t>TVR</w:t>
                            </w:r>
                            <w:proofErr w:type="spellEnd"/>
                            <w:r w:rsidRPr="003F6F37">
                              <w:rPr>
                                <w:rFonts w:ascii="Times New Roman" w:hAnsi="Times New Roman" w:cs="Times New Roman"/>
                                <w:lang w:val="en-GB"/>
                              </w:rPr>
                              <w:t xml:space="preserve"> and all-cause death in-hospital or during the follow-up period.  Quality of life was assessed using the 36 items Short Form Hea</w:t>
                            </w:r>
                            <w:r>
                              <w:rPr>
                                <w:rFonts w:ascii="Times New Roman" w:hAnsi="Times New Roman" w:cs="Times New Roman"/>
                                <w:lang w:val="en-GB"/>
                              </w:rPr>
                              <w:t>lth Survey (</w:t>
                            </w:r>
                            <w:proofErr w:type="spellStart"/>
                            <w:r>
                              <w:rPr>
                                <w:rFonts w:ascii="Times New Roman" w:hAnsi="Times New Roman" w:cs="Times New Roman"/>
                                <w:lang w:val="en-GB"/>
                              </w:rPr>
                              <w:t>SF36</w:t>
                            </w:r>
                            <w:proofErr w:type="spellEnd"/>
                            <w:r>
                              <w:rPr>
                                <w:rFonts w:ascii="Times New Roman" w:hAnsi="Times New Roman" w:cs="Times New Roman"/>
                                <w:lang w:val="en-GB"/>
                              </w:rPr>
                              <w:t xml:space="preserve"> version 2)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{"citationItems":[{"id":"ITEM-1","itemData":{"DOI":"10.1097/00005650-199206000-00002","ISSN":"15371948","PMID":"1593914","abstract":"A 36-item short-form (SF-36) was constructed to survey health status in the Medical Outcomes Study. The SF-36 was designed for use in clinical practice and research, health policy evaluations, and general population surveys. The SF-36 includes one multi-item scale that assesses eight health concepts: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The survey was constructed for self-administration by persons 14 years of age and older, and for administration by a trained interviewer in person or by telephone. The history of the development of the SF-36, the origin of specific items, and the logic underlying their selection are summarized. The content and features of the SF-36 are compared with the 20-item Medical Outcomes Study short-form. © Lippincott-Raven Publishers.","author":[{"dropping-particle":"","family":"Ware","given":"John E.","non-dropping-particle":"","parse-names":false,"suffix":""},{"dropping-particle":"","family":"Sherbourne","given":"Cathy Donald","non-dropping-particle":"","parse-names":false,"suffix":""}],"container-title":"Medical Care","id":"ITEM-1","issue":"6","issued":{"date-parts":[["1992","6"]]},"language":"eng","page":"473-483","publisher-place":"United States","title":"The MOS 36-item short-form health survey (Sf-36): I. conceptual framework and item selection","type":"article-journal","volume":"30"},"uris":["http://www.mendeley.com/documents/?uuid=db4ebc0f-0b5e-408d-9a09-e0782b84adce"]}],"mendeley":{"formattedCitation":"&lt;sup&gt;12&lt;/sup&gt;","plainTextFormattedCitation":"12","previouslyFormattedCitation":"(12)"},"properties":{"noteIndex":0},"schema":"https://github.com/citation-style-language/schema/raw/master/csl-citation.json"}</w:instrText>
                            </w:r>
                            <w:r>
                              <w:rPr>
                                <w:rFonts w:ascii="Times New Roman" w:hAnsi="Times New Roman" w:cs="Times New Roman"/>
                                <w:lang w:val="en-GB"/>
                              </w:rPr>
                              <w:fldChar w:fldCharType="separate"/>
                            </w:r>
                            <w:r w:rsidRPr="00EA208F">
                              <w:rPr>
                                <w:rFonts w:ascii="Times New Roman" w:hAnsi="Times New Roman" w:cs="Times New Roman"/>
                                <w:lang w:val="en-GB"/>
                              </w:rPr>
                              <w:t>12</w:t>
                            </w:r>
                            <w:r>
                              <w:rPr>
                                <w:rFonts w:ascii="Times New Roman" w:hAnsi="Times New Roman" w:cs="Times New Roman"/>
                                <w:lang w:val="en-GB"/>
                              </w:rPr>
                              <w:fldChar w:fldCharType="end"/>
                            </w:r>
                            <w:r>
                              <w:rPr>
                                <w:rFonts w:ascii="Times New Roman" w:hAnsi="Times New Roman" w:cs="Times New Roman"/>
                                <w:lang w:val="en-GB"/>
                              </w:rPr>
                              <w:t>].</w:t>
                            </w:r>
                            <w:r w:rsidRPr="003F6F37">
                              <w:rPr>
                                <w:rFonts w:ascii="Times New Roman" w:hAnsi="Times New Roman" w:cs="Times New Roman"/>
                                <w:lang w:val="en-GB"/>
                              </w:rPr>
                              <w:t xml:space="preserve"> The questionnaire was completed at baseline (up to two months before the PCI) and 10 to 14 months after the PCI.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85897" id="_x0000_t202" coordsize="21600,21600" o:spt="202" path="m,l,21600r21600,l21600,xe">
                <v:stroke joinstyle="miter"/>
                <v:path gradientshapeok="t" o:connecttype="rect"/>
              </v:shapetype>
              <v:shape id="Tekstvak 1" o:spid="_x0000_s1026" type="#_x0000_t202" style="position:absolute;left:0;text-align:left;margin-left:-2.05pt;margin-top:5.65pt;width:485.75pt;height:48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" fillcolor="white [3201]" strokeweight=".5pt">
                <v:textbox>
                  <w:txbxContent>
                    <w:p w14:paraId="58FAE052" w14:textId="2DEB5039" w:rsidR="00EA208F" w:rsidRPr="003F6F37" w:rsidRDefault="00EA208F" w:rsidP="00EA208F">
                      <w:pPr>
                        <w:spacing w:line="360" w:lineRule="auto"/>
                        <w:jc w:val="both"/>
                        <w:rPr>
                          <w:rFonts w:ascii="Times New Roman" w:hAnsi="Times New Roman" w:cs="Times New Roman"/>
                          <w:lang w:val="en-GB"/>
                        </w:rPr>
                      </w:pPr>
                      <w:r w:rsidRPr="003F6F37">
                        <w:rPr>
                          <w:rFonts w:ascii="Times New Roman" w:hAnsi="Times New Roman" w:cs="Times New Roman"/>
                          <w:lang w:val="en-GB"/>
                        </w:rPr>
                        <w:t xml:space="preserve">A CTO was defined as complete obstruction of the coronary arteries for at least three months (based on clinical and coronary angiography findings) with a </w:t>
                      </w:r>
                      <w:proofErr w:type="spellStart"/>
                      <w:r w:rsidRPr="003F6F37">
                        <w:rPr>
                          <w:rFonts w:ascii="Times New Roman" w:hAnsi="Times New Roman" w:cs="Times New Roman"/>
                          <w:lang w:val="en-GB"/>
                        </w:rPr>
                        <w:t>Trombolysis</w:t>
                      </w:r>
                      <w:proofErr w:type="spellEnd"/>
                      <w:r w:rsidRPr="003F6F37">
                        <w:rPr>
                          <w:rFonts w:ascii="Times New Roman" w:hAnsi="Times New Roman" w:cs="Times New Roman"/>
                          <w:lang w:val="en-GB"/>
                        </w:rPr>
                        <w:t xml:space="preserve"> in Myocardial Infarction (</w:t>
                      </w:r>
                      <w:proofErr w:type="spellStart"/>
                      <w:r w:rsidRPr="003F6F37">
                        <w:rPr>
                          <w:rFonts w:ascii="Times New Roman" w:hAnsi="Times New Roman" w:cs="Times New Roman"/>
                          <w:lang w:val="en-GB"/>
                        </w:rPr>
                        <w:t>TIMI</w:t>
                      </w:r>
                      <w:proofErr w:type="spellEnd"/>
                      <w:r w:rsidRPr="003F6F37">
                        <w:rPr>
                          <w:rFonts w:ascii="Times New Roman" w:hAnsi="Times New Roman" w:cs="Times New Roman"/>
                          <w:lang w:val="en-GB"/>
                        </w:rPr>
                        <w:t>) grade 0 antegrade flow. Complexity of the CTO lesion was</w:t>
                      </w:r>
                      <w:r>
                        <w:rPr>
                          <w:rFonts w:ascii="Times New Roman" w:hAnsi="Times New Roman" w:cs="Times New Roman"/>
                          <w:lang w:val="en-GB"/>
                        </w:rPr>
                        <w:t xml:space="preserve"> assessed by the J-CTO score</w:t>
                      </w:r>
                      <w:r w:rsidR="00B85010">
                        <w:rPr>
                          <w:rFonts w:ascii="Times New Roman" w:hAnsi="Times New Roman" w:cs="Times New Roman"/>
                          <w:lang w:val="en-GB"/>
                        </w:rPr>
                        <w:t xml:space="preserve"> [</w:t>
                      </w:r>
                      <w:r w:rsidRPr="00B85010">
                        <w:rPr>
                          <w:rFonts w:ascii="Times New Roman" w:hAnsi="Times New Roman" w:cs="Times New Roman"/>
                          <w:lang w:val="en-GB"/>
                        </w:rPr>
                        <w:fldChar w:fldCharType="begin" w:fldLock="1"/>
                      </w:r>
                      <w:r w:rsidRPr="00B85010">
                        <w:rPr>
                          <w:rFonts w:ascii="Times New Roman" w:hAnsi="Times New Roman" w:cs="Times New Roman"/>
                          <w:lang w:val="en-GB"/>
                        </w:rPr>
                        <w:instrText>ADDIN CSL_CITATION {"citationItems":[{"id":"ITEM-1","itemData":{"DOI":"10.1016/j.jacc.2016.07.744","ISSN":"15583597","PMID":"27712774","abstract":"Background In 10% to 15% of patients with ST-segment elevation myocardial infarction (STEMI), concurrent coronary chronic total occlusion (CTO) in a non–infarct-related artery is present and is associated with increased morbidity and mortality. Objectives The EXPLORE (Evaluating Xience and Left Ventricular Function in Percutaneous Coronary Intervention on Occlusions After ST-Elevation Myocardial Infarction) trial evaluated whether patients with STEMI and concurrent CTO in a non–infarct-related artery benefit from additional percutaneous coronary intervention (PCI) of CTO shortly after primary PCI. Methods From November 2007 through April 2015, we enrolled 304 patients with acute STEMI who underwent primary PCI and had concurrent CTO in 14 centers in Europe and Canada. A total of 150 patients were randomly assigned to early PCI of the CTO (CTO PCI), and 154 patients were assigned to conservative treatment without PCI of the CTO (no CTO PCI). Primary outcomes were left ventricular ejection fraction (LVEF) and left ventricular end diastolic volume (LVEDV) on cardiac magnetic resonance imaging after 4 months. Results The investigator-reported procedural success rate in the CTO PCI arm of the trial was 77%, and the adjudicated success rate was 73%. At 4 months, mean LVEF did not differ between the 2 groups (44.1 ± 12.2% vs. 44.8 ± 11.9%, respectively; p = 0.60). Mean LVEDV at 4 months was 215.6 ± 62.5 ml in the CTO PCI arm versus 212.8 ± 60.3 ml in the no–CTO PCI arm (p = 0.70). Subgroup analysis revealed that patients with CTO located in the left anterior descending coronary artery who were randomized to the CTO PCI strategy had significantly higher LVEF compared with patients randomized to the no–CTO PCI strategy (47.2 ± 12.3% vs. 40.4 ± 11.9%; p = 0.02). There were no differences in terms of 4-month major adverse coronary events (5.4% vs. 2.6%; p = 0.25). Conclusions Additional CTO PCI within 1 week after primary PCI for STEMI was feasible and safe. In patients with STEMI and concurrent CTO, we did not find an overall benefit for CTO PCI in terms of LVEF or LVEDV. The finding that early CTO PCI in the left anterior descending coronary artery subgroup was beneficial warrants further investigation. (Evaluating Xience and Left Ventricular Function in Percutaneous Coronary Intervention on Occlusions After ST-Segment Elevation Myocardial Infarction; NTR1108)","author":[{"dropping-particle":"","family":"Henriques","given":"José P.S.","non-dropping-particle":"","parse-names":false,"suffix":""},{"dropping-particle":"","family":"Hoebers","given":"Loes P.","non-dropping-particle":"","parse-names":false,"suffix":""},{"dropping-particle":"","family":"Råmunddal","given":"Truls","non-dropping-particle":"","parse-names":false,"suffix":""},{"dropping-particle":"","family":"Laanmets","given":"Peep","non-dropping-particle":"","parse-names":false,"suffix":""},{"dropping-particle":"","family":"Eriksen","given":"Erlend","non-dropping-particle":"","parse-names":false,"suffix":""},{"dropping-particle":"","family":"Bax","given":"Matthijs","non-dropping-particle":"","parse-names":false,"suffix":""},{"dropping-particle":"","family":"Ioanes","given":"Dan","non-dropping-particle":"","parse-names":false,"suffix":""},{"dropping-particle":"","family":"Suttorp","given":"Maarten J.","non-dropping-particle":"","parse-names":false,"suffix":""},{"dropping-particle":"","family":"Strauss","given":"Bradley H.","non-dropping-particle":"","parse-names":false,"suffix":""},{"dropping-particle":"","family":"Barbato","given":"Emanuele","non-dropping-particle":"","parse-names":false,"suffix":""},{"dropping-particle":"","family":"Nijveldt","given":"Robin","non-dropping-particle":"","parse-names":false,"suffix":""},{"dropping-particle":"","family":"Rossum","given":"Albert C.","non-dropping-particle":"van","parse-names":false,"suffix":""},{"dropping-particle":"","family":"Marques","given":"Koen M.","non-dropping-particle":"","parse-names":false,"suffix":""},{"dropping-particle":"","family":"Elias","given":"Joëlle","non-dropping-particle":"","parse-names":false,"suffix":""},{"dropping-particle":"","family":"Dongen","given":"Ivo M.","non-dropping-particle":"van","parse-names":false,"suffix":""},{"dropping-particle":"","family":"Claessen","given":"Bimmer E.P.M.","non-dropping-particle":"","parse-names":false,"suffix":""},{"dropping-particle":"","family":"Tijssen","given":"Jan G.","non-dropping-particle":"","parse-names":false,"suffix":""},{"dropping-particle":"","family":"Schaaf","given":"René J.","non-dropping-particle":"van der","parse-names":false,"suffix":""},{"dropping-particle":"","family":"Schaaf","given":"Rene","non-dropping-particle":"van der","parse-names":false,"suffix":""},{"dropping-particle":"","family":"Tijssen","given":"Jan G.P.","non-dropping-particle":"","parse-names":false,"suffix":""},{"dropping-particle":"","family":"Zijlstra","given":"Felix","non-dropping-particle":"","parse-names":false,"suffix":""},{"dropping-particle":"","family":"Boer","given":"Menko Jan","non-dropping-particle":"de","parse-names":false,"suffix":""},{"dropping-particle":"","family":"Michels","given":"Rolf","non-dropping-particle":"","parse-names":false,"suffix":""},{"dropping-particle":"","family":"Meuwissen","given":"Martijn","non-dropping-particle":"","parse-names":false,"suffix":""},{"dropping-particle":"","family":"Agostoni","given":"Pierfrancesco","non-dropping-particle":"","parse-names":false,"suffix":""},{"dropping-particle":"","family":"Houwelingen","given":"K. Gert","non-dropping-particle":"van","parse-names":false,"suffix":""},{"dropping-particle":"","family":"Verberne","given":"Hein J.","non-dropping-particle":"","parse-names":false,"suffix":""},{"dropping-particle":"","family":"Hirsch","given":"Alexander","non-dropping-particle":"","parse-names":false,"suffix":""},{"dropping-particle":"","family":"Piek","given":"Jan J.","non-dropping-particle":"","parse-names":false,"suffix":""},{"dropping-particle":"","family":"Winter","given":"Robbert J.","non-dropping-particle":"de","parse-names":false,"suffix":""},{"dropping-particle":"","family":"Koch","given":"Karel T.","non-dropping-particle":"","parse-names":false,"suffix":""},{"dropping-particle":"","family":"Vis","given":"Marije M.","non-dropping-particle":"","parse-names":false,"suffix":""},{"dropping-particle":"","family":"Baan","given":"Jan","non-dropping-particle":"","parse-names":false,"suffix":""},{"dropping-particle":"","family":"Wykrzykowska","given":"Joanna","non-dropping-particle":"","parse-names":false,"suffix":""},{"dropping-particle":"","family":"Råmunddal","given":"Truls","non-dropping-particle":"","parse-names":false,"suffix":""},{"dropping-particle":"","family":"Ioanes","given":"Dan","non-dropping-particle":"","parse-names":false,"suffix":""},{"dropping-particle":"","family":"Laanmets","given":"Peep","non-dropping-particle":"","parse-names":false,"suffix":""},{"dropping-particle":"","family":"Schaaf","given":"René J.","non-dropping-particle":"van der","parse-names":false,"suffix":""},{"dropping-particle":"","family":"Slagboom","given":"Ton","non-dropping-particle":"","parse-names":false,"suffix":""},{"dropping-particle":"","family":"Amoroso","given":"Giovanni","non-dropping-particle":"","parse-names":false,"suffix":""},{"dropping-particle":"","family":"Eriksen","given":"Erlend","non-dropping-particle":"","parse-names":false,"suffix":""},{"dropping-particle":"","family":"Tuseth","given":"Vegard","non-dropping-particle":"","parse-names":false,"suffix":""},{"dropping-particle":"","family":"Bax","given":"Matthijs","non-dropping-particle":"","parse-names":false,"suffix":""},{"dropping-particle":"","family":"Schotborgh","given":"Carl E.","non-dropping-particle":"","parse-names":false,"suffix":""},{"dropping-particle":"","family":"Suttorp","given":"Maarten J.","non-dropping-particle":"","parse-names":false,"suffix":""},{"dropping-particle":"","family":"Marques","given":"Koen M.","non-dropping-particle":"","parse-names":false,"suffix":""},{"dropping-particle":"","family":"Bertrand","given":"Olivier","non-dropping-particle":"","parse-names":false,"suffix":""},{"dropping-particle":"","family":"Meuwissen","given":"Martijn","non-dropping-particle":"","parse-names":false,"suffix":""},{"dropping-particle":"","family":"Ent","given":"Martin","non-dropping-particle":"van der","parse-names":false,"suffix":""},{"dropping-particle":"","family":"Koolen","given":"Jacques","non-dropping-particle":"","parse-names":false,"suffix":""}],"container-title":"Journal of the American College of Cardiology","id":"ITEM-1","issue":"15","issued":{"date-parts":[["2016","10","11"]]},"page":"1622-1632","publisher":"J Am Coll Cardiol","title":"Percutaneous Intervention for Concurrent Chronic Total Occlusions in Patients With STEMI: The EXPLORE Trial","type":"article-journal","volume":"68"},"uris":["http://www.mendeley.com/documents/?uuid=48112745-6593-3346-ba9c-0a467a8c227e"]}],"mendeley":{"formattedCitation":"&lt;sup&gt;7&lt;/sup&gt;","plainTextFormattedCitation":"7","previouslyFormattedCitation":"(7)"},"properties":{"noteIndex":0},"schema":"https://github.com/citation-style-language/schema/raw/master/csl-citation.json"}</w:instrText>
                      </w:r>
                      <w:r w:rsidRPr="00B85010">
                        <w:rPr>
                          <w:rFonts w:ascii="Times New Roman" w:hAnsi="Times New Roman" w:cs="Times New Roman"/>
                          <w:lang w:val="en-GB"/>
                        </w:rPr>
                        <w:fldChar w:fldCharType="separate"/>
                      </w:r>
                      <w:r w:rsidRPr="00B85010">
                        <w:rPr>
                          <w:rFonts w:ascii="Times New Roman" w:hAnsi="Times New Roman" w:cs="Times New Roman"/>
                          <w:noProof/>
                          <w:lang w:val="en-GB"/>
                        </w:rPr>
                        <w:t>7</w:t>
                      </w:r>
                      <w:r w:rsidRPr="00B85010">
                        <w:rPr>
                          <w:rFonts w:ascii="Times New Roman" w:hAnsi="Times New Roman" w:cs="Times New Roman"/>
                          <w:lang w:val="en-GB"/>
                        </w:rPr>
                        <w:fldChar w:fldCharType="end"/>
                      </w:r>
                      <w:r w:rsidR="00B85010">
                        <w:rPr>
                          <w:rFonts w:ascii="Times New Roman" w:hAnsi="Times New Roman" w:cs="Times New Roman"/>
                          <w:lang w:val="en-GB"/>
                        </w:rPr>
                        <w:t>].</w:t>
                      </w:r>
                      <w:r w:rsidRPr="003F6F37">
                        <w:rPr>
                          <w:rFonts w:ascii="Times New Roman" w:hAnsi="Times New Roman" w:cs="Times New Roman"/>
                          <w:lang w:val="en-GB"/>
                        </w:rPr>
                        <w:t xml:space="preserve"> Occlusion length was estimated from the index angiographic images in patients with bilateral approach or after recanalization and balloon inflation in procedures with single access approach. The degree of collateral size was classified according to the Werner classification of collateral size (CC classification). The degree of calcification was estimated on angiographic images without contrast injection in the coronaries. Angiographic success was defined as recovery of </w:t>
                      </w:r>
                      <w:proofErr w:type="spellStart"/>
                      <w:r w:rsidRPr="003F6F37">
                        <w:rPr>
                          <w:rFonts w:ascii="Times New Roman" w:hAnsi="Times New Roman" w:cs="Times New Roman"/>
                          <w:lang w:val="en-GB"/>
                        </w:rPr>
                        <w:t>TIMI</w:t>
                      </w:r>
                      <w:proofErr w:type="spellEnd"/>
                      <w:r w:rsidRPr="003F6F37">
                        <w:rPr>
                          <w:rFonts w:ascii="Times New Roman" w:hAnsi="Times New Roman" w:cs="Times New Roman"/>
                          <w:lang w:val="en-GB"/>
                        </w:rPr>
                        <w:t xml:space="preserve"> III grade antegrade flow in the target vessel and ≤ 30% residual stenosis of the target segment. </w:t>
                      </w:r>
                    </w:p>
                    <w:p w14:paraId="67E797B6" w14:textId="7781467F" w:rsidR="00EA208F" w:rsidRPr="00EA208F" w:rsidRDefault="00EA208F" w:rsidP="00EA208F">
                      <w:pPr>
                        <w:spacing w:line="360" w:lineRule="auto"/>
                        <w:rPr>
                          <w:rFonts w:ascii="Times New Roman" w:hAnsi="Times New Roman" w:cs="Times New Roman"/>
                          <w:lang w:val="en-GB"/>
                        </w:rPr>
                      </w:pPr>
                      <w:r w:rsidRPr="00EA208F">
                        <w:rPr>
                          <w:rFonts w:ascii="Times New Roman" w:hAnsi="Times New Roman" w:cs="Times New Roman"/>
                          <w:lang w:val="en-GB"/>
                        </w:rPr>
                        <w:tab/>
                      </w:r>
                      <w:r w:rsidRPr="003F6F37">
                        <w:rPr>
                          <w:rFonts w:ascii="Times New Roman" w:hAnsi="Times New Roman" w:cs="Times New Roman"/>
                          <w:lang w:val="en-GB"/>
                        </w:rPr>
                        <w:t xml:space="preserve">Angina complaints were defined following the Canadian Cardiovascular Society grading of angina pectoris (CCS) classification. Periprocedural complications included bleeding, MI, coronary perforation leading to cardiac tamponade or additional intervention, target or donor vessel dissection leading to additional intervention, cardiovascular death and cardiac arrhythmia. Minor bleeding was defined as a Bleeding Academic Research Consortium (BARC) score of 0-2 and major bleeding as a BARC score ≥ </w:t>
                      </w:r>
                      <w:proofErr w:type="spellStart"/>
                      <w:r w:rsidRPr="003F6F37">
                        <w:rPr>
                          <w:rFonts w:ascii="Times New Roman" w:hAnsi="Times New Roman" w:cs="Times New Roman"/>
                          <w:lang w:val="en-GB"/>
                        </w:rPr>
                        <w:t>3a</w:t>
                      </w:r>
                      <w:proofErr w:type="spellEnd"/>
                      <w:r w:rsidRPr="003F6F37">
                        <w:rPr>
                          <w:rFonts w:ascii="Times New Roman" w:hAnsi="Times New Roman" w:cs="Times New Roman"/>
                          <w:lang w:val="en-GB"/>
                        </w:rPr>
                        <w:t xml:space="preserve"> including cardiac tamponade. Periprocedural/in-hospital MI were defined if at least two of the three following criteria were met: 1) prolonged chest pain ≥ 20 minutes, 2) enzyme changes (more than double the upper limits of Creatinine kinase (CK), CK-MB, or Relative Index, 3) ST-T-wave changes or new Q-waves on serial ECGs indicative of myocardial damage. Myocardial infarction during follow-up was defined as following the latest ESC guideline ‘Definition of M</w:t>
                      </w:r>
                      <w:r>
                        <w:rPr>
                          <w:rFonts w:ascii="Times New Roman" w:hAnsi="Times New Roman" w:cs="Times New Roman"/>
                          <w:lang w:val="en-GB"/>
                        </w:rPr>
                        <w:t>yocardial Infarction (2018)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10.1161/CIR.0000000000000617","ISSN":"15244539","PMID":"30571511","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Corbett","given":"Simon","non-dropping-particle":"","parse-names":false,"suffix":""},{"dropping-particle":"","family":"Chettibi","given":"Mohamed","non-dropping-particle":"","parse-names":false,"suffix":""},{"dropping-particle":"","family":"Hayrapetyan","given":"Hamlet","non-dropping-particle":"","parse-names":false,"suffix":""},{"dropping-particle":"","family":"Roithinger","given":"Franz Xaver","non-dropping-particle":"","parse-names":false,"suffix":""},{"dropping-particle":"","family":"Aliyev","given":"Farid","non-dropping-particle":"","parse-names":false,"suffix":""},{"dropping-particle":"","family":"Sujayeva","given":"Volha","non-dropping-particle":"","parse-names":false,"suffix":""},{"dropping-particle":"","family":"Claeys","given":"Marc J.","non-dropping-particle":"","parse-names":false,"suffix":""},{"dropping-particle":"","family":"Smajić","given":"Elnur","non-dropping-particle":"","parse-names":false,"suffix":""},{"dropping-particle":"","family":"Kala","given":"Petr","non-dropping-particle":"","parse-names":false,"suffix":""},{"dropping-particle":"","family":"Iversen","given":"Kasper Karmak","non-dropping-particle":"","parse-names":false,"suffix":""},{"dropping-particle":"El","family":"Hefny","given":"Ehab","non-dropping-particle":"","parse-names":false,"suffix":""},{"dropping-particle":"","family":"Marandi","given":"Toomas","non-dropping-particle":"","parse-names":false,"suffix":""},{"dropping-particle":"","family":"Porela","given":"Pekka","non-dropping-particle":"","parse-names":false,"suffix":""},{"dropping-particle":"","family":"Antov","given":"Slobodan","non-dropping-particle":"","parse-names":false,"suffix":""},{"dropping-particle":"","family":"Gilard","given":"Martine","non-dropping-particle":"","parse-names":false,"suffix":""},{"dropping-particle":"","family":"Blankenberg","given":"Stefan","non-dropping-particle":"","parse-names":false,"suffix":""},{"dropping-particle":"","family":"Davlouros","given":"Periklis","non-dropping-particle":"","parse-names":false,"suffix":""},{"dropping-particle":"","family":"Gudnason","given":"Thorarinn","non-dropping-particle":"","parse-names":false,"suffix":""},{"dropping-particle":"","family":"Alcalai","given":"Ronny","non-dropping-particle":"","parse-names":false,"suffix":""},{"dropping-particle":"","family":"Colivicchi","given":"Furio","non-dropping-particle":"","parse-names":false,"suffix":""},{"dropping-particle":"","family":"Elezi","given":"Shpend","non-dropping-particle":"","parse-names":false,"suffix":""},{"dropping-particle":"","family":"Baitova","given":"Gulmira","non-dropping-particle":"","parse-names":false,"suffix":""},{"dropping-particle":"","family":"Zakke","given":"Ilja","non-dropping-particle":"","parse-names":false,"suffix":""},{"dropping-particle":"","family":"Gustiene","given":"Olivija","non-dropping-particle":"","parse-names":false,"suffix":""},{"dropping-particle":"","family":"Beissel","given":"Jean","non-dropping-particle":"","parse-names":false,"suffix":""},{"dropping-particle":"","family":"Dingli","given":"Philip","non-dropping-particle":"","parse-names":false,"suffix":""},{"dropping-particle":"","family":"Grosu","given":"Aurel","non-dropping-particle":"","parse-names":false,"suffix":""},{"dropping-particle":"","family":"Damman","given":"Peter","non-dropping-particle":"","parse-names":false,"suffix":""},{"dropping-particle":"","family":"Juliebo","given":"Vibeke","non-dropping-particle":"","parse-names":false,"suffix":""},{"dropping-particle":"","family":"Legutko","given":"Jacek","non-dropping-particle":"","parse-names":false,"suffix":""},{"dropping-particle":"","family":"Morais","given":"Joäo","non-dropping-particle":"","parse-names":false,"suffix":""},{"dropping-particle":"","family":"Tatu-Chitoiu","given":"Gabriel","non-dropping-particle":"","parse-names":false,"suffix":""},{"dropping-particle":"","family":"Yakovlev","given":"Alexey","non-dropping-particle":"","parse-names":false,"suffix":""},{"dropping-particle":"","family":"Zavatta","given":"Marco","non-dropping-particle":"","parse-names":false,"suffix":""},{"dropping-particle":"","family":"Nedeljkovic","given":"Milan","non-dropping-particle":"","parse-names":false,"suffix":""},{"dropping-particle":"","family":"Radsel","given":"Peter","non-dropping-particle":"","parse-names":false,"suffix":""},{"dropping-particle":"","family":"Sionis","given":"Alessandro","non-dropping-particle":"","parse-names":false,"suffix":""},{"dropping-particle":"","family":"Jemberg","given":"Tomas","non-dropping-particle":"","parse-names":false,"suffix":""},{"dropping-particle":"","family":"Müller","given":"Christian","non-dropping-particle":"","parse-names":false,"suffix":""},{"dropping-particle":"","family":"Abid","given":"Leila","non-dropping-particle":"","parse-names":false,"suffix":""},{"dropping-particle":"","family":"Abaci","given":"Adnan","non-dropping-particle":"","parse-names":false,"suffix":""},{"dropping-particle":"","family":"Parkhomenko","given":"Alexandr","non-dropping-particle":"","parse-names":false,"suffix":""}],"container-title":"Circulation","id":"ITEM-1","issue":"20","issued":{"date-parts":[["2018","11","13"]]},"page":"e618-e651","publisher":"Circulation","title":"Fourth Universal Definition of Myocardial Infarction (2018)","type":"article-journal","volume":"138"},"uris":["http://www.mendeley.com/documents/?uuid=c3fa08e7-c497-3d1c-af41-1c0a33d25c6a"]}],"mendeley":{"formattedCitation":"&lt;sup&gt;11&lt;/sup&gt;","plainTextFormattedCitation":"11","previouslyFormattedCitation":"(11)"},"properties":{"noteIndex":0},"schema":"https://github.com/citation-style-language/schema/raw/master/csl-citation.json"}</w:instrText>
                      </w:r>
                      <w:r>
                        <w:rPr>
                          <w:rFonts w:ascii="Times New Roman" w:hAnsi="Times New Roman" w:cs="Times New Roman"/>
                          <w:lang w:val="en-GB"/>
                        </w:rPr>
                        <w:fldChar w:fldCharType="separate"/>
                      </w:r>
                      <w:r w:rsidRPr="00EA208F">
                        <w:rPr>
                          <w:rFonts w:ascii="Times New Roman" w:hAnsi="Times New Roman" w:cs="Times New Roman"/>
                          <w:lang w:val="en-GB"/>
                        </w:rPr>
                        <w:t>11</w:t>
                      </w:r>
                      <w:r>
                        <w:rPr>
                          <w:rFonts w:ascii="Times New Roman" w:hAnsi="Times New Roman" w:cs="Times New Roman"/>
                          <w:lang w:val="en-GB"/>
                        </w:rPr>
                        <w:fldChar w:fldCharType="end"/>
                      </w:r>
                      <w:r>
                        <w:rPr>
                          <w:rFonts w:ascii="Times New Roman" w:hAnsi="Times New Roman" w:cs="Times New Roman"/>
                          <w:lang w:val="en-GB"/>
                        </w:rPr>
                        <w:t>].</w:t>
                      </w:r>
                      <w:r w:rsidRPr="003F6F37">
                        <w:rPr>
                          <w:rFonts w:ascii="Times New Roman" w:hAnsi="Times New Roman" w:cs="Times New Roman"/>
                          <w:lang w:val="en-GB"/>
                        </w:rPr>
                        <w:t xml:space="preserve"> Target vessel </w:t>
                      </w:r>
                      <w:proofErr w:type="spellStart"/>
                      <w:r w:rsidRPr="003F6F37">
                        <w:rPr>
                          <w:rFonts w:ascii="Times New Roman" w:hAnsi="Times New Roman" w:cs="Times New Roman"/>
                          <w:lang w:val="en-GB"/>
                        </w:rPr>
                        <w:t>revascularization</w:t>
                      </w:r>
                      <w:proofErr w:type="spellEnd"/>
                      <w:r w:rsidRPr="003F6F37">
                        <w:rPr>
                          <w:rFonts w:ascii="Times New Roman" w:hAnsi="Times New Roman" w:cs="Times New Roman"/>
                          <w:lang w:val="en-GB"/>
                        </w:rPr>
                        <w:t xml:space="preserve"> (</w:t>
                      </w:r>
                      <w:proofErr w:type="spellStart"/>
                      <w:r w:rsidRPr="003F6F37">
                        <w:rPr>
                          <w:rFonts w:ascii="Times New Roman" w:hAnsi="Times New Roman" w:cs="Times New Roman"/>
                          <w:lang w:val="en-GB"/>
                        </w:rPr>
                        <w:t>TVR</w:t>
                      </w:r>
                      <w:proofErr w:type="spellEnd"/>
                      <w:r w:rsidRPr="003F6F37">
                        <w:rPr>
                          <w:rFonts w:ascii="Times New Roman" w:hAnsi="Times New Roman" w:cs="Times New Roman"/>
                          <w:lang w:val="en-GB"/>
                        </w:rPr>
                        <w:t xml:space="preserve">) was defined as any unplanned PCI or surgical bypass of any segment of the target vessel. Major adverse cardiac events (MACE) </w:t>
                      </w:r>
                      <w:proofErr w:type="gramStart"/>
                      <w:r w:rsidRPr="003F6F37">
                        <w:rPr>
                          <w:rFonts w:ascii="Times New Roman" w:hAnsi="Times New Roman" w:cs="Times New Roman"/>
                          <w:lang w:val="en-GB"/>
                        </w:rPr>
                        <w:t>was</w:t>
                      </w:r>
                      <w:proofErr w:type="gramEnd"/>
                      <w:r w:rsidRPr="003F6F37">
                        <w:rPr>
                          <w:rFonts w:ascii="Times New Roman" w:hAnsi="Times New Roman" w:cs="Times New Roman"/>
                          <w:lang w:val="en-GB"/>
                        </w:rPr>
                        <w:t xml:space="preserve"> defined as composite of myocardial infarction, </w:t>
                      </w:r>
                      <w:proofErr w:type="spellStart"/>
                      <w:r w:rsidRPr="003F6F37">
                        <w:rPr>
                          <w:rFonts w:ascii="Times New Roman" w:hAnsi="Times New Roman" w:cs="Times New Roman"/>
                          <w:lang w:val="en-GB"/>
                        </w:rPr>
                        <w:t>TVR</w:t>
                      </w:r>
                      <w:proofErr w:type="spellEnd"/>
                      <w:r w:rsidRPr="003F6F37">
                        <w:rPr>
                          <w:rFonts w:ascii="Times New Roman" w:hAnsi="Times New Roman" w:cs="Times New Roman"/>
                          <w:lang w:val="en-GB"/>
                        </w:rPr>
                        <w:t xml:space="preserve"> and all-cause death in-hospital or during the follow-up period.  Quality of life was assessed using the 36 items Short Form Hea</w:t>
                      </w:r>
                      <w:r>
                        <w:rPr>
                          <w:rFonts w:ascii="Times New Roman" w:hAnsi="Times New Roman" w:cs="Times New Roman"/>
                          <w:lang w:val="en-GB"/>
                        </w:rPr>
                        <w:t>lth Survey (</w:t>
                      </w:r>
                      <w:proofErr w:type="spellStart"/>
                      <w:r>
                        <w:rPr>
                          <w:rFonts w:ascii="Times New Roman" w:hAnsi="Times New Roman" w:cs="Times New Roman"/>
                          <w:lang w:val="en-GB"/>
                        </w:rPr>
                        <w:t>SF36</w:t>
                      </w:r>
                      <w:proofErr w:type="spellEnd"/>
                      <w:r>
                        <w:rPr>
                          <w:rFonts w:ascii="Times New Roman" w:hAnsi="Times New Roman" w:cs="Times New Roman"/>
                          <w:lang w:val="en-GB"/>
                        </w:rPr>
                        <w:t xml:space="preserve"> version 2)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{"citationItems":[{"id":"ITEM-1","itemData":{"DOI":"10.1097/00005650-199206000-00002","ISSN":"15371948","PMID":"1593914","abstract":"A 36-item short-form (SF-36) was constructed to survey health status in the Medical Outcomes Study. The SF-36 was designed for use in clinical practice and research, health policy evaluations, and general population surveys. The SF-36 includes one multi-item scale that assesses eight health concepts: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The survey was constructed for self-administration by persons 14 years of age and older, and for administration by a trained interviewer in person or by telephone. The history of the development of the SF-36, the origin of specific items, and the logic underlying their selection are summarized. The content and features of the SF-36 are compared with the 20-item Medical Outcomes Study short-form. © Lippincott-Raven Publishers.","author":[{"dropping-particle":"","family":"Ware","given":"John E.","non-dropping-particle":"","parse-names":false,"suffix":""},{"dropping-particle":"","family":"Sherbourne","given":"Cathy Donald","non-dropping-particle":"","parse-names":false,"suffix":""}],"container-title":"Medical Care","id":"ITEM-1","issue":"6","issued":{"date-parts":[["1992","6"]]},"language":"eng","page":"473-483","publisher-place":"United States","title":"The MOS 36-item short-form health survey (Sf-36): I. conceptual framework and item selection","type":"article-journal","volume":"30"},"uris":["http://www.mendeley.com/documents/?uuid=db4ebc0f-0b5e-408d-9a09-e0782b84adce"]}],"mendeley":{"formattedCitation":"&lt;sup&gt;12&lt;/sup&gt;","plainTextFormattedCitation":"12","previouslyFormattedCitation":"(12)"},"properties":{"noteIndex":0},"schema":"https://github.com/citation-style-language/schema/raw/master/csl-citation.json"}</w:instrText>
                      </w:r>
                      <w:r>
                        <w:rPr>
                          <w:rFonts w:ascii="Times New Roman" w:hAnsi="Times New Roman" w:cs="Times New Roman"/>
                          <w:lang w:val="en-GB"/>
                        </w:rPr>
                        <w:fldChar w:fldCharType="separate"/>
                      </w:r>
                      <w:r w:rsidRPr="00EA208F">
                        <w:rPr>
                          <w:rFonts w:ascii="Times New Roman" w:hAnsi="Times New Roman" w:cs="Times New Roman"/>
                          <w:lang w:val="en-GB"/>
                        </w:rPr>
                        <w:t>12</w:t>
                      </w:r>
                      <w:r>
                        <w:rPr>
                          <w:rFonts w:ascii="Times New Roman" w:hAnsi="Times New Roman" w:cs="Times New Roman"/>
                          <w:lang w:val="en-GB"/>
                        </w:rPr>
                        <w:fldChar w:fldCharType="end"/>
                      </w:r>
                      <w:r>
                        <w:rPr>
                          <w:rFonts w:ascii="Times New Roman" w:hAnsi="Times New Roman" w:cs="Times New Roman"/>
                          <w:lang w:val="en-GB"/>
                        </w:rPr>
                        <w:t>].</w:t>
                      </w:r>
                      <w:r w:rsidRPr="003F6F37">
                        <w:rPr>
                          <w:rFonts w:ascii="Times New Roman" w:hAnsi="Times New Roman" w:cs="Times New Roman"/>
                          <w:lang w:val="en-GB"/>
                        </w:rPr>
                        <w:t xml:space="preserve"> The questionnaire was completed at baseline (up to two months before the PCI) and 10 to 14 months after the PCI.</w:t>
                      </w:r>
                    </w:p>
                  </w:txbxContent>
                </v:textbox>
              </v:shape>
            </w:pict>
          </mc:Fallback>
        </mc:AlternateContent>
      </w:r>
    </w:p>
    <w:p w14:paraId="5972CDC8" w14:textId="3D3F7F06" w:rsidR="00852324" w:rsidRPr="00EA208F" w:rsidRDefault="00852324">
      <w:pPr>
        <w:rPr>
          <w:lang w:val="en-GB"/>
        </w:rPr>
      </w:pPr>
    </w:p>
    <w:sectPr w:rsidR="00852324" w:rsidRPr="00EA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8F"/>
    <w:rsid w:val="000248F8"/>
    <w:rsid w:val="00030E60"/>
    <w:rsid w:val="000E2558"/>
    <w:rsid w:val="00111CEB"/>
    <w:rsid w:val="0015720C"/>
    <w:rsid w:val="00162826"/>
    <w:rsid w:val="00190C49"/>
    <w:rsid w:val="001A5F38"/>
    <w:rsid w:val="001F61A8"/>
    <w:rsid w:val="00217793"/>
    <w:rsid w:val="00285BED"/>
    <w:rsid w:val="002D09DB"/>
    <w:rsid w:val="002D5D66"/>
    <w:rsid w:val="002E3C9E"/>
    <w:rsid w:val="00412AC1"/>
    <w:rsid w:val="00414811"/>
    <w:rsid w:val="00435222"/>
    <w:rsid w:val="004A3018"/>
    <w:rsid w:val="005D55E3"/>
    <w:rsid w:val="006D00D4"/>
    <w:rsid w:val="00721584"/>
    <w:rsid w:val="00741929"/>
    <w:rsid w:val="007B00D1"/>
    <w:rsid w:val="0081722D"/>
    <w:rsid w:val="00836351"/>
    <w:rsid w:val="00852324"/>
    <w:rsid w:val="0086020C"/>
    <w:rsid w:val="00880DC3"/>
    <w:rsid w:val="00885C2D"/>
    <w:rsid w:val="008F2467"/>
    <w:rsid w:val="0091409E"/>
    <w:rsid w:val="00927B11"/>
    <w:rsid w:val="0095580F"/>
    <w:rsid w:val="00AD21FA"/>
    <w:rsid w:val="00AF41BF"/>
    <w:rsid w:val="00B678D0"/>
    <w:rsid w:val="00B802BF"/>
    <w:rsid w:val="00B85010"/>
    <w:rsid w:val="00BB33D3"/>
    <w:rsid w:val="00BC158E"/>
    <w:rsid w:val="00BD6326"/>
    <w:rsid w:val="00C40BFE"/>
    <w:rsid w:val="00C469B3"/>
    <w:rsid w:val="00C578FB"/>
    <w:rsid w:val="00C659A1"/>
    <w:rsid w:val="00CC46FB"/>
    <w:rsid w:val="00CD0F25"/>
    <w:rsid w:val="00D61544"/>
    <w:rsid w:val="00DE0C73"/>
    <w:rsid w:val="00DF080B"/>
    <w:rsid w:val="00E73FF5"/>
    <w:rsid w:val="00EA208F"/>
    <w:rsid w:val="00EC44F3"/>
    <w:rsid w:val="00EE4012"/>
    <w:rsid w:val="00EF2B9D"/>
    <w:rsid w:val="00F22377"/>
    <w:rsid w:val="00F660BD"/>
    <w:rsid w:val="00F95531"/>
    <w:rsid w:val="00FF5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19D8"/>
  <w15:chartTrackingRefBased/>
  <w15:docId w15:val="{F8940D8F-3C78-428E-B8A1-93990D2C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0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2</cp:revision>
  <dcterms:created xsi:type="dcterms:W3CDTF">2022-09-07T08:08:00Z</dcterms:created>
  <dcterms:modified xsi:type="dcterms:W3CDTF">2022-09-07T08:08:00Z</dcterms:modified>
</cp:coreProperties>
</file>