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81" w:rsidRPr="00631373" w:rsidRDefault="00A37B81" w:rsidP="00A37B81">
      <w:pPr>
        <w:pStyle w:val="Heading1"/>
        <w:jc w:val="both"/>
      </w:pPr>
      <w:r w:rsidRPr="00631373">
        <w:t>Supplementary material</w:t>
      </w:r>
    </w:p>
    <w:p w:rsidR="00A37B81" w:rsidRPr="00631373" w:rsidRDefault="00A37B81" w:rsidP="00A37B81">
      <w:pPr>
        <w:pStyle w:val="Heading2"/>
        <w:jc w:val="both"/>
      </w:pPr>
      <w:r w:rsidRPr="00631373">
        <w:t>Tables</w:t>
      </w:r>
    </w:p>
    <w:p w:rsidR="00A37B81" w:rsidRPr="00631373" w:rsidRDefault="00A37B81" w:rsidP="00A37B81">
      <w:pPr>
        <w:jc w:val="both"/>
      </w:pPr>
      <w:r w:rsidRPr="00631373">
        <w:rPr>
          <w:b/>
        </w:rPr>
        <w:t xml:space="preserve">Table S1. </w:t>
      </w:r>
      <w:r w:rsidRPr="00631373">
        <w:t>Search strategy and results in Ovid MEDLINE database.</w:t>
      </w:r>
    </w:p>
    <w:tbl>
      <w:tblPr>
        <w:tblStyle w:val="TableGrid"/>
        <w:tblW w:w="0" w:type="auto"/>
        <w:tblLook w:val="04A0" w:firstRow="1" w:lastRow="0" w:firstColumn="1" w:lastColumn="0" w:noHBand="0" w:noVBand="1"/>
      </w:tblPr>
      <w:tblGrid>
        <w:gridCol w:w="562"/>
        <w:gridCol w:w="5448"/>
        <w:gridCol w:w="3006"/>
      </w:tblGrid>
      <w:tr w:rsidR="00A37B81" w:rsidRPr="00631373" w:rsidTr="00E07D65">
        <w:tc>
          <w:tcPr>
            <w:tcW w:w="562" w:type="dxa"/>
          </w:tcPr>
          <w:p w:rsidR="00A37B81" w:rsidRPr="00631373" w:rsidRDefault="00A37B81" w:rsidP="00E07D65">
            <w:pPr>
              <w:jc w:val="both"/>
            </w:pPr>
            <w:r w:rsidRPr="00631373">
              <w:t>1</w:t>
            </w:r>
          </w:p>
        </w:tc>
        <w:tc>
          <w:tcPr>
            <w:tcW w:w="5448" w:type="dxa"/>
          </w:tcPr>
          <w:p w:rsidR="00A37B81" w:rsidRPr="00631373" w:rsidRDefault="00A37B81" w:rsidP="00E07D65">
            <w:pPr>
              <w:jc w:val="both"/>
            </w:pPr>
            <w:proofErr w:type="spellStart"/>
            <w:r w:rsidRPr="00631373">
              <w:t>exp</w:t>
            </w:r>
            <w:proofErr w:type="spellEnd"/>
            <w:r w:rsidRPr="00631373">
              <w:t xml:space="preserve"> percutaneous coronary intervention/</w:t>
            </w:r>
          </w:p>
        </w:tc>
        <w:tc>
          <w:tcPr>
            <w:tcW w:w="3006" w:type="dxa"/>
          </w:tcPr>
          <w:p w:rsidR="00A37B81" w:rsidRPr="00631373" w:rsidRDefault="00A37B81" w:rsidP="00E07D65">
            <w:pPr>
              <w:jc w:val="both"/>
            </w:pPr>
            <w:r w:rsidRPr="00631373">
              <w:t>48679</w:t>
            </w:r>
          </w:p>
        </w:tc>
      </w:tr>
      <w:tr w:rsidR="00A37B81" w:rsidRPr="00631373" w:rsidTr="00E07D65">
        <w:tc>
          <w:tcPr>
            <w:tcW w:w="562" w:type="dxa"/>
          </w:tcPr>
          <w:p w:rsidR="00A37B81" w:rsidRPr="00631373" w:rsidRDefault="00A37B81" w:rsidP="00E07D65">
            <w:pPr>
              <w:jc w:val="both"/>
            </w:pPr>
            <w:r w:rsidRPr="00631373">
              <w:t>2</w:t>
            </w:r>
          </w:p>
        </w:tc>
        <w:tc>
          <w:tcPr>
            <w:tcW w:w="5448" w:type="dxa"/>
          </w:tcPr>
          <w:p w:rsidR="00A37B81" w:rsidRPr="00631373" w:rsidRDefault="00A37B81" w:rsidP="00E07D65">
            <w:pPr>
              <w:jc w:val="both"/>
            </w:pPr>
            <w:proofErr w:type="spellStart"/>
            <w:r w:rsidRPr="00631373">
              <w:t>exp</w:t>
            </w:r>
            <w:proofErr w:type="spellEnd"/>
            <w:r w:rsidRPr="00631373">
              <w:t xml:space="preserve"> acute coronary syndrome/ or </w:t>
            </w:r>
            <w:proofErr w:type="spellStart"/>
            <w:r w:rsidRPr="00631373">
              <w:t>exp</w:t>
            </w:r>
            <w:proofErr w:type="spellEnd"/>
            <w:r w:rsidRPr="00631373">
              <w:t xml:space="preserve"> unstable angina pectoris/ or </w:t>
            </w:r>
            <w:proofErr w:type="spellStart"/>
            <w:r w:rsidRPr="00631373">
              <w:t>exp</w:t>
            </w:r>
            <w:proofErr w:type="spellEnd"/>
            <w:r w:rsidRPr="00631373">
              <w:t xml:space="preserve"> myocardial infarction/</w:t>
            </w:r>
          </w:p>
        </w:tc>
        <w:tc>
          <w:tcPr>
            <w:tcW w:w="3006" w:type="dxa"/>
          </w:tcPr>
          <w:p w:rsidR="00A37B81" w:rsidRPr="00631373" w:rsidRDefault="00A37B81" w:rsidP="00E07D65">
            <w:pPr>
              <w:jc w:val="both"/>
            </w:pPr>
            <w:r w:rsidRPr="00631373">
              <w:t>182948</w:t>
            </w:r>
          </w:p>
          <w:p w:rsidR="00A37B81" w:rsidRPr="00631373" w:rsidRDefault="00A37B81" w:rsidP="00E07D65">
            <w:pPr>
              <w:jc w:val="both"/>
            </w:pPr>
          </w:p>
        </w:tc>
      </w:tr>
      <w:tr w:rsidR="00A37B81" w:rsidRPr="00631373" w:rsidTr="00E07D65">
        <w:tc>
          <w:tcPr>
            <w:tcW w:w="562" w:type="dxa"/>
          </w:tcPr>
          <w:p w:rsidR="00A37B81" w:rsidRPr="00631373" w:rsidRDefault="00A37B81" w:rsidP="00E07D65">
            <w:pPr>
              <w:jc w:val="both"/>
            </w:pPr>
            <w:r w:rsidRPr="00631373">
              <w:t>3</w:t>
            </w:r>
          </w:p>
        </w:tc>
        <w:tc>
          <w:tcPr>
            <w:tcW w:w="5448" w:type="dxa"/>
          </w:tcPr>
          <w:p w:rsidR="00A37B81" w:rsidRPr="00631373" w:rsidRDefault="00A37B81" w:rsidP="00E07D65">
            <w:pPr>
              <w:jc w:val="both"/>
            </w:pPr>
            <w:r w:rsidRPr="00631373">
              <w:t>((staged or stage* or (stage* and revascularization) or (stage* and revascularisation)).</w:t>
            </w:r>
            <w:proofErr w:type="spellStart"/>
            <w:r w:rsidRPr="00631373">
              <w:t>tw</w:t>
            </w:r>
            <w:proofErr w:type="spellEnd"/>
            <w:r w:rsidRPr="00631373">
              <w:t>.) or (((non-culprit or (non and culprit)) and (</w:t>
            </w:r>
            <w:proofErr w:type="spellStart"/>
            <w:r w:rsidRPr="00631373">
              <w:t>revasculari</w:t>
            </w:r>
            <w:proofErr w:type="spellEnd"/>
            <w:r w:rsidRPr="00631373">
              <w:t>* or intervention*)).</w:t>
            </w:r>
            <w:proofErr w:type="spellStart"/>
            <w:r w:rsidRPr="00631373">
              <w:t>tw</w:t>
            </w:r>
            <w:proofErr w:type="spellEnd"/>
            <w:r w:rsidRPr="00631373">
              <w:t>.) or (((</w:t>
            </w:r>
            <w:proofErr w:type="spellStart"/>
            <w:r w:rsidRPr="00631373">
              <w:t>multivessel</w:t>
            </w:r>
            <w:proofErr w:type="spellEnd"/>
            <w:r w:rsidRPr="00631373">
              <w:t xml:space="preserve"> and </w:t>
            </w:r>
            <w:proofErr w:type="spellStart"/>
            <w:r w:rsidRPr="00631373">
              <w:t>revasculari</w:t>
            </w:r>
            <w:proofErr w:type="spellEnd"/>
            <w:r w:rsidRPr="00631373">
              <w:t xml:space="preserve">*) or (multi-vessel and </w:t>
            </w:r>
            <w:proofErr w:type="spellStart"/>
            <w:r w:rsidRPr="00631373">
              <w:t>revasculari</w:t>
            </w:r>
            <w:proofErr w:type="spellEnd"/>
            <w:r w:rsidRPr="00631373">
              <w:t xml:space="preserve">*) or (multi* and </w:t>
            </w:r>
            <w:proofErr w:type="spellStart"/>
            <w:r w:rsidRPr="00631373">
              <w:t>revasculari</w:t>
            </w:r>
            <w:proofErr w:type="spellEnd"/>
            <w:r w:rsidRPr="00631373">
              <w:t>*)).</w:t>
            </w:r>
            <w:proofErr w:type="spellStart"/>
            <w:r w:rsidRPr="00631373">
              <w:t>tw</w:t>
            </w:r>
            <w:proofErr w:type="spellEnd"/>
            <w:r w:rsidRPr="00631373">
              <w:t>.) or (((</w:t>
            </w:r>
            <w:proofErr w:type="spellStart"/>
            <w:r w:rsidRPr="00631373">
              <w:t>multivessel</w:t>
            </w:r>
            <w:proofErr w:type="spellEnd"/>
            <w:r w:rsidRPr="00631373">
              <w:t xml:space="preserve"> or (multi* and vessel)) and (</w:t>
            </w:r>
            <w:proofErr w:type="spellStart"/>
            <w:r w:rsidRPr="00631373">
              <w:t>revasculari</w:t>
            </w:r>
            <w:proofErr w:type="spellEnd"/>
            <w:r w:rsidRPr="00631373">
              <w:t>* or intervention* or disease)).</w:t>
            </w:r>
            <w:proofErr w:type="spellStart"/>
            <w:r w:rsidRPr="00631373">
              <w:t>tw</w:t>
            </w:r>
            <w:proofErr w:type="spellEnd"/>
            <w:r w:rsidRPr="00631373">
              <w:t>.)</w:t>
            </w:r>
          </w:p>
        </w:tc>
        <w:tc>
          <w:tcPr>
            <w:tcW w:w="3006" w:type="dxa"/>
          </w:tcPr>
          <w:p w:rsidR="00A37B81" w:rsidRPr="00631373" w:rsidRDefault="00A37B81" w:rsidP="00E07D65">
            <w:pPr>
              <w:jc w:val="both"/>
            </w:pPr>
            <w:r w:rsidRPr="00631373">
              <w:t>999335</w:t>
            </w:r>
          </w:p>
          <w:p w:rsidR="00A37B81" w:rsidRPr="00631373" w:rsidRDefault="00A37B81" w:rsidP="00E07D65">
            <w:pPr>
              <w:jc w:val="both"/>
            </w:pPr>
          </w:p>
        </w:tc>
      </w:tr>
      <w:tr w:rsidR="00A37B81" w:rsidRPr="00631373" w:rsidTr="00E07D65">
        <w:tc>
          <w:tcPr>
            <w:tcW w:w="562" w:type="dxa"/>
          </w:tcPr>
          <w:p w:rsidR="00A37B81" w:rsidRPr="00631373" w:rsidRDefault="00A37B81" w:rsidP="00E07D65">
            <w:pPr>
              <w:jc w:val="both"/>
            </w:pPr>
            <w:r w:rsidRPr="00631373">
              <w:t>4</w:t>
            </w:r>
          </w:p>
        </w:tc>
        <w:tc>
          <w:tcPr>
            <w:tcW w:w="5448" w:type="dxa"/>
          </w:tcPr>
          <w:p w:rsidR="00A37B81" w:rsidRPr="00631373" w:rsidRDefault="00A37B81" w:rsidP="00E07D65">
            <w:pPr>
              <w:jc w:val="both"/>
            </w:pPr>
            <w:r w:rsidRPr="00631373">
              <w:t>1 and 2 and 3</w:t>
            </w:r>
          </w:p>
        </w:tc>
        <w:tc>
          <w:tcPr>
            <w:tcW w:w="3006" w:type="dxa"/>
          </w:tcPr>
          <w:p w:rsidR="00A37B81" w:rsidRPr="00631373" w:rsidRDefault="00A37B81" w:rsidP="00E07D65">
            <w:pPr>
              <w:jc w:val="both"/>
            </w:pPr>
            <w:r w:rsidRPr="00631373">
              <w:t>2710</w:t>
            </w:r>
          </w:p>
        </w:tc>
      </w:tr>
      <w:tr w:rsidR="00A37B81" w:rsidRPr="00631373" w:rsidTr="00E07D65">
        <w:tc>
          <w:tcPr>
            <w:tcW w:w="562" w:type="dxa"/>
          </w:tcPr>
          <w:p w:rsidR="00A37B81" w:rsidRPr="00631373" w:rsidRDefault="00A37B81" w:rsidP="00E07D65">
            <w:pPr>
              <w:jc w:val="both"/>
            </w:pPr>
            <w:r w:rsidRPr="00631373">
              <w:t>5</w:t>
            </w:r>
          </w:p>
        </w:tc>
        <w:tc>
          <w:tcPr>
            <w:tcW w:w="5448" w:type="dxa"/>
          </w:tcPr>
          <w:p w:rsidR="00A37B81" w:rsidRPr="00631373" w:rsidRDefault="00A37B81" w:rsidP="00E07D65">
            <w:pPr>
              <w:jc w:val="both"/>
            </w:pPr>
            <w:r w:rsidRPr="00631373">
              <w:t xml:space="preserve">limit </w:t>
            </w:r>
            <w:r>
              <w:t>4</w:t>
            </w:r>
            <w:r w:rsidRPr="00631373">
              <w:t xml:space="preserve"> to (</w:t>
            </w:r>
            <w:proofErr w:type="spellStart"/>
            <w:r w:rsidRPr="00631373">
              <w:t>english</w:t>
            </w:r>
            <w:proofErr w:type="spellEnd"/>
            <w:r w:rsidRPr="00631373">
              <w:t xml:space="preserve"> language and </w:t>
            </w:r>
            <w:proofErr w:type="spellStart"/>
            <w:r w:rsidRPr="00631373">
              <w:t>yr</w:t>
            </w:r>
            <w:proofErr w:type="spellEnd"/>
            <w:r w:rsidRPr="00631373">
              <w:t>="2000 - 20</w:t>
            </w:r>
            <w:r>
              <w:t>20</w:t>
            </w:r>
            <w:r w:rsidRPr="00631373">
              <w:t>")</w:t>
            </w:r>
          </w:p>
        </w:tc>
        <w:tc>
          <w:tcPr>
            <w:tcW w:w="3006" w:type="dxa"/>
          </w:tcPr>
          <w:p w:rsidR="00A37B81" w:rsidRPr="00631373" w:rsidRDefault="00A37B81" w:rsidP="00E07D65">
            <w:pPr>
              <w:jc w:val="both"/>
            </w:pPr>
            <w:r w:rsidRPr="00631373">
              <w:t>2219</w:t>
            </w:r>
          </w:p>
        </w:tc>
      </w:tr>
    </w:tbl>
    <w:p w:rsidR="00A37B81" w:rsidRPr="00631373" w:rsidRDefault="00A37B81" w:rsidP="00A37B81">
      <w:pPr>
        <w:jc w:val="both"/>
      </w:pPr>
    </w:p>
    <w:p w:rsidR="00A37B81" w:rsidRPr="00631373" w:rsidRDefault="00A37B81" w:rsidP="00A37B81">
      <w:pPr>
        <w:jc w:val="both"/>
      </w:pPr>
      <w:r w:rsidRPr="00631373">
        <w:br w:type="page"/>
      </w:r>
    </w:p>
    <w:p w:rsidR="00A37B81" w:rsidRPr="00631373" w:rsidRDefault="00A37B81" w:rsidP="00A37B81">
      <w:pPr>
        <w:pStyle w:val="Heading2"/>
        <w:jc w:val="both"/>
      </w:pPr>
      <w:r w:rsidRPr="00631373">
        <w:lastRenderedPageBreak/>
        <w:t>Figures</w:t>
      </w:r>
    </w:p>
    <w:p w:rsidR="00A37B81" w:rsidRPr="00631373" w:rsidRDefault="00A37B81" w:rsidP="00A37B81">
      <w:pPr>
        <w:jc w:val="both"/>
      </w:pPr>
      <w:r w:rsidRPr="00631373">
        <w:rPr>
          <w:b/>
        </w:rPr>
        <w:t>Figure S1.</w:t>
      </w:r>
      <w:r w:rsidRPr="00631373">
        <w:t xml:space="preserve"> PRISMA flowchart of the study selection process.</w:t>
      </w:r>
    </w:p>
    <w:p w:rsidR="00A37B81" w:rsidRPr="00631373" w:rsidRDefault="00A37B81" w:rsidP="00A37B81">
      <w:pPr>
        <w:jc w:val="both"/>
      </w:pPr>
      <w:r>
        <w:rPr>
          <w:noProof/>
          <w:lang w:val="nl-NL" w:eastAsia="nl-NL"/>
        </w:rPr>
        <w:drawing>
          <wp:inline distT="0" distB="0" distL="0" distR="0" wp14:anchorId="714B859F" wp14:editId="795211EE">
            <wp:extent cx="5614670" cy="6071870"/>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4670" cy="6071870"/>
                    </a:xfrm>
                    <a:prstGeom prst="rect">
                      <a:avLst/>
                    </a:prstGeom>
                    <a:noFill/>
                  </pic:spPr>
                </pic:pic>
              </a:graphicData>
            </a:graphic>
          </wp:inline>
        </w:drawing>
      </w:r>
    </w:p>
    <w:p w:rsidR="00A37B81" w:rsidRPr="00631373" w:rsidRDefault="00A37B81" w:rsidP="00A37B81">
      <w:pPr>
        <w:spacing w:line="276" w:lineRule="auto"/>
        <w:jc w:val="both"/>
      </w:pPr>
      <w:r w:rsidRPr="00631373">
        <w:br w:type="page"/>
      </w:r>
    </w:p>
    <w:p w:rsidR="00063C23" w:rsidRPr="00F41C3A" w:rsidRDefault="00063C23" w:rsidP="00063C23">
      <w:pPr>
        <w:spacing w:line="276" w:lineRule="auto"/>
      </w:pPr>
      <w:bookmarkStart w:id="0" w:name="_GoBack"/>
      <w:bookmarkEnd w:id="0"/>
      <w:r>
        <w:rPr>
          <w:b/>
          <w:bCs/>
        </w:rPr>
        <w:lastRenderedPageBreak/>
        <w:t xml:space="preserve">VISUAL OVERVIEW </w:t>
      </w:r>
      <w:r>
        <w:t>- T</w:t>
      </w:r>
      <w:r w:rsidRPr="008D5D83">
        <w:t xml:space="preserve">his meta-analysis suggests </w:t>
      </w:r>
      <w:r>
        <w:t>similar</w:t>
      </w:r>
      <w:r w:rsidRPr="008D5D83">
        <w:t xml:space="preserve"> outcomes </w:t>
      </w:r>
      <w:r>
        <w:t>with an</w:t>
      </w:r>
      <w:r w:rsidRPr="008D5D83">
        <w:t xml:space="preserve"> immediate or staged complete </w:t>
      </w:r>
      <w:r>
        <w:t>revascularisation</w:t>
      </w:r>
      <w:r w:rsidRPr="008D5D83">
        <w:t xml:space="preserve"> </w:t>
      </w:r>
      <w:r>
        <w:t xml:space="preserve">strategy </w:t>
      </w:r>
      <w:r w:rsidRPr="008D5D83">
        <w:t xml:space="preserve">in patients with </w:t>
      </w:r>
      <w:r>
        <w:t xml:space="preserve">acute coronary syndrome (ACS) </w:t>
      </w:r>
      <w:r w:rsidRPr="008D5D83">
        <w:t xml:space="preserve">and </w:t>
      </w:r>
      <w:proofErr w:type="spellStart"/>
      <w:r>
        <w:t>multivessel</w:t>
      </w:r>
      <w:proofErr w:type="spellEnd"/>
      <w:r>
        <w:t xml:space="preserve"> disease (MVD)</w:t>
      </w:r>
      <w:r w:rsidRPr="008D5D83">
        <w:t>.</w:t>
      </w:r>
      <w:r>
        <w:t xml:space="preserve"> In non-randomised studies, mortality was higher in patients who underwent immediate complete revascularisation compared to staged complete revascularisation. However, these registries were prone to important confounding bias as more patients in cardiogenic shock underwent ad hoc complete revascularization. Indeed, the increased mortality risk was no longer present when studies that also allowed cardiogenic shock were excluded. </w:t>
      </w:r>
    </w:p>
    <w:p w:rsidR="00063C23" w:rsidRDefault="00063C23" w:rsidP="00063C23">
      <w:r>
        <w:rPr>
          <w:noProof/>
          <w:lang w:val="nl-NL" w:eastAsia="nl-NL"/>
        </w:rPr>
        <w:drawing>
          <wp:inline distT="0" distB="0" distL="0" distR="0" wp14:anchorId="12D34DEB" wp14:editId="4F60F514">
            <wp:extent cx="5219065" cy="34653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2724" cy="3474452"/>
                    </a:xfrm>
                    <a:prstGeom prst="rect">
                      <a:avLst/>
                    </a:prstGeom>
                    <a:noFill/>
                  </pic:spPr>
                </pic:pic>
              </a:graphicData>
            </a:graphic>
          </wp:inline>
        </w:drawing>
      </w:r>
    </w:p>
    <w:p w:rsidR="00063C23" w:rsidRDefault="00063C23" w:rsidP="00A37B81">
      <w:pPr>
        <w:spacing w:line="276" w:lineRule="auto"/>
        <w:jc w:val="both"/>
        <w:rPr>
          <w:noProof/>
          <w:lang w:eastAsia="en-AU"/>
        </w:rPr>
      </w:pPr>
    </w:p>
    <w:sectPr w:rsidR="00063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81"/>
    <w:rsid w:val="00063C23"/>
    <w:rsid w:val="00185D17"/>
    <w:rsid w:val="00A37B81"/>
    <w:rsid w:val="00BC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8334C-1219-4BB5-AC49-81C8E8CC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B81"/>
    <w:pPr>
      <w:spacing w:after="200" w:line="480" w:lineRule="auto"/>
    </w:pPr>
    <w:rPr>
      <w:rFonts w:ascii="Times New Roman" w:hAnsi="Times New Roman" w:cs="Times New Roman"/>
      <w:sz w:val="24"/>
      <w:lang w:val="en-GB"/>
    </w:rPr>
  </w:style>
  <w:style w:type="paragraph" w:styleId="Heading1">
    <w:name w:val="heading 1"/>
    <w:basedOn w:val="Normal"/>
    <w:next w:val="Normal"/>
    <w:link w:val="Heading1Char"/>
    <w:uiPriority w:val="9"/>
    <w:qFormat/>
    <w:rsid w:val="00A37B81"/>
    <w:pPr>
      <w:outlineLvl w:val="0"/>
    </w:pPr>
    <w:rPr>
      <w:b/>
      <w:sz w:val="28"/>
    </w:rPr>
  </w:style>
  <w:style w:type="paragraph" w:styleId="Heading2">
    <w:name w:val="heading 2"/>
    <w:basedOn w:val="Normal"/>
    <w:next w:val="Normal"/>
    <w:link w:val="Heading2Char"/>
    <w:uiPriority w:val="9"/>
    <w:unhideWhenUsed/>
    <w:qFormat/>
    <w:rsid w:val="00A37B81"/>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B81"/>
    <w:rPr>
      <w:rFonts w:ascii="Times New Roman" w:hAnsi="Times New Roman" w:cs="Times New Roman"/>
      <w:b/>
      <w:sz w:val="28"/>
      <w:lang w:val="en-GB"/>
    </w:rPr>
  </w:style>
  <w:style w:type="character" w:customStyle="1" w:styleId="Heading2Char">
    <w:name w:val="Heading 2 Char"/>
    <w:basedOn w:val="DefaultParagraphFont"/>
    <w:link w:val="Heading2"/>
    <w:uiPriority w:val="9"/>
    <w:rsid w:val="00A37B81"/>
    <w:rPr>
      <w:rFonts w:ascii="Times New Roman" w:hAnsi="Times New Roman" w:cs="Times New Roman"/>
      <w:b/>
      <w:sz w:val="24"/>
      <w:lang w:val="en-GB"/>
    </w:rPr>
  </w:style>
  <w:style w:type="table" w:styleId="TableGrid">
    <w:name w:val="Table Grid"/>
    <w:basedOn w:val="TableNormal"/>
    <w:uiPriority w:val="59"/>
    <w:rsid w:val="00A37B8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 den Dekker</dc:creator>
  <cp:keywords/>
  <dc:description/>
  <cp:lastModifiedBy>Wijnand den Dekker</cp:lastModifiedBy>
  <cp:revision>2</cp:revision>
  <dcterms:created xsi:type="dcterms:W3CDTF">2021-11-24T14:46:00Z</dcterms:created>
  <dcterms:modified xsi:type="dcterms:W3CDTF">2021-11-24T14:46:00Z</dcterms:modified>
</cp:coreProperties>
</file>