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E083" w14:textId="77777777" w:rsidR="0011221D" w:rsidRPr="00154AB8" w:rsidRDefault="0011221D" w:rsidP="0011221D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Supplementary Figure 1</w:t>
      </w:r>
      <w:r w:rsidRPr="00154AB8">
        <w:rPr>
          <w:rFonts w:cs="Times New Roman"/>
          <w:b/>
          <w:sz w:val="24"/>
          <w:szCs w:val="24"/>
          <w:lang w:val="en-US"/>
        </w:rPr>
        <w:t>. Percentage of patients in adequate INR range at each timepoint in both protocols</w:t>
      </w:r>
    </w:p>
    <w:p w14:paraId="5EAB0743" w14:textId="77777777" w:rsidR="0011221D" w:rsidRPr="00154AB8" w:rsidRDefault="0011221D" w:rsidP="0011221D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eastAsia="nl-NL"/>
        </w:rPr>
        <w:drawing>
          <wp:inline distT="0" distB="0" distL="0" distR="0" wp14:anchorId="624270FA" wp14:editId="29F50648">
            <wp:extent cx="5760720" cy="42538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2FA6" w14:textId="77777777" w:rsidR="00852324" w:rsidRDefault="00852324"/>
    <w:sectPr w:rsidR="0085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D"/>
    <w:rsid w:val="00030E60"/>
    <w:rsid w:val="000E2558"/>
    <w:rsid w:val="0011221D"/>
    <w:rsid w:val="00190C49"/>
    <w:rsid w:val="001A5F38"/>
    <w:rsid w:val="00217793"/>
    <w:rsid w:val="00285BED"/>
    <w:rsid w:val="002D09DB"/>
    <w:rsid w:val="002D5D66"/>
    <w:rsid w:val="002E3C9E"/>
    <w:rsid w:val="00412AC1"/>
    <w:rsid w:val="00435222"/>
    <w:rsid w:val="004A3018"/>
    <w:rsid w:val="005D55E3"/>
    <w:rsid w:val="006D00D4"/>
    <w:rsid w:val="00721584"/>
    <w:rsid w:val="00741929"/>
    <w:rsid w:val="007B00D1"/>
    <w:rsid w:val="0081722D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9E51E9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8BE35"/>
  <w15:chartTrackingRefBased/>
  <w15:docId w15:val="{17C8FD1B-559D-44F5-8A72-E991B759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221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2022-01-30T08:53:00Z</dcterms:created>
  <dcterms:modified xsi:type="dcterms:W3CDTF">2022-01-30T08:55:00Z</dcterms:modified>
</cp:coreProperties>
</file>