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CC99" w14:textId="457004E1" w:rsidR="005A4C49" w:rsidRPr="008753B0" w:rsidRDefault="005A4C49" w:rsidP="005A4C4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753B0">
        <w:rPr>
          <w:rFonts w:ascii="Times New Roman" w:hAnsi="Times New Roman" w:cs="Times New Roman"/>
          <w:b/>
          <w:lang w:val="en-US"/>
        </w:rPr>
        <w:t xml:space="preserve">Table S2 </w:t>
      </w:r>
      <w:r w:rsidRPr="008753B0">
        <w:rPr>
          <w:rFonts w:ascii="Times New Roman" w:hAnsi="Times New Roman" w:cs="Times New Roman"/>
          <w:lang w:val="en-US"/>
        </w:rPr>
        <w:t>Anatomical Therapeutic Chemical (ATC) classification system codes used in this study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08"/>
      </w:tblGrid>
      <w:tr w:rsidR="005A4C49" w:rsidRPr="008753B0" w14:paraId="089627F6" w14:textId="77777777" w:rsidTr="009F3EC8">
        <w:trPr>
          <w:trHeight w:val="267"/>
        </w:trPr>
        <w:tc>
          <w:tcPr>
            <w:tcW w:w="4520" w:type="dxa"/>
            <w:shd w:val="clear" w:color="auto" w:fill="A6A6A6" w:themeFill="background1" w:themeFillShade="A6"/>
          </w:tcPr>
          <w:p w14:paraId="699AB291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Antithrombotic therapy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6EC14C39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ACT code</w:t>
            </w:r>
          </w:p>
        </w:tc>
      </w:tr>
      <w:tr w:rsidR="005A4C49" w:rsidRPr="008753B0" w14:paraId="0B26C929" w14:textId="77777777" w:rsidTr="009F3EC8">
        <w:trPr>
          <w:trHeight w:val="267"/>
        </w:trPr>
        <w:tc>
          <w:tcPr>
            <w:tcW w:w="9028" w:type="dxa"/>
            <w:gridSpan w:val="2"/>
            <w:shd w:val="clear" w:color="auto" w:fill="D9D9D9" w:themeFill="background1" w:themeFillShade="D9"/>
          </w:tcPr>
          <w:p w14:paraId="0387C896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Platelet inhibitor (PI)</w:t>
            </w:r>
          </w:p>
        </w:tc>
      </w:tr>
      <w:tr w:rsidR="005A4C49" w:rsidRPr="008753B0" w14:paraId="2C8796C6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69FFD2E1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Clopidogrel</w:t>
            </w:r>
            <w:proofErr w:type="spellEnd"/>
          </w:p>
        </w:tc>
        <w:tc>
          <w:tcPr>
            <w:tcW w:w="4508" w:type="dxa"/>
          </w:tcPr>
          <w:p w14:paraId="1649E94B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B01AC04</w:t>
            </w:r>
          </w:p>
        </w:tc>
      </w:tr>
      <w:tr w:rsidR="005A4C49" w:rsidRPr="008753B0" w14:paraId="6373130D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68AFEA11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Acetylsalicylic acid</w:t>
            </w:r>
          </w:p>
        </w:tc>
        <w:tc>
          <w:tcPr>
            <w:tcW w:w="4508" w:type="dxa"/>
          </w:tcPr>
          <w:p w14:paraId="3FB37A99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B01AC06</w:t>
            </w:r>
          </w:p>
        </w:tc>
      </w:tr>
      <w:tr w:rsidR="005A4C49" w:rsidRPr="008753B0" w14:paraId="1EF6797A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50AEC0E6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Dipyridamole</w:t>
            </w:r>
          </w:p>
        </w:tc>
        <w:tc>
          <w:tcPr>
            <w:tcW w:w="4508" w:type="dxa"/>
          </w:tcPr>
          <w:p w14:paraId="5B2B15F7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B01AC07</w:t>
            </w:r>
          </w:p>
        </w:tc>
      </w:tr>
      <w:tr w:rsidR="005A4C49" w:rsidRPr="008753B0" w14:paraId="4DF076BD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709F0181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Carbasalate</w:t>
            </w:r>
            <w:proofErr w:type="spellEnd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 xml:space="preserve"> calcium</w:t>
            </w:r>
          </w:p>
        </w:tc>
        <w:tc>
          <w:tcPr>
            <w:tcW w:w="4508" w:type="dxa"/>
          </w:tcPr>
          <w:p w14:paraId="1F0996F2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B01AC08</w:t>
            </w:r>
          </w:p>
        </w:tc>
      </w:tr>
      <w:tr w:rsidR="005A4C49" w:rsidRPr="008753B0" w14:paraId="645F4A33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1D080CAD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Epoprostenol</w:t>
            </w:r>
            <w:proofErr w:type="spellEnd"/>
          </w:p>
        </w:tc>
        <w:tc>
          <w:tcPr>
            <w:tcW w:w="4508" w:type="dxa"/>
          </w:tcPr>
          <w:p w14:paraId="58DAFE6C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B01AC09</w:t>
            </w:r>
          </w:p>
        </w:tc>
      </w:tr>
      <w:tr w:rsidR="005A4C49" w:rsidRPr="008753B0" w14:paraId="7C1941CA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36AE85FB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Prasugrel</w:t>
            </w:r>
            <w:proofErr w:type="spellEnd"/>
          </w:p>
        </w:tc>
        <w:tc>
          <w:tcPr>
            <w:tcW w:w="4508" w:type="dxa"/>
          </w:tcPr>
          <w:p w14:paraId="6056C6E6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B01AC22</w:t>
            </w:r>
          </w:p>
        </w:tc>
      </w:tr>
      <w:tr w:rsidR="005A4C49" w:rsidRPr="008753B0" w14:paraId="620126E0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6FFDD339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Ticagrelor</w:t>
            </w:r>
            <w:proofErr w:type="spellEnd"/>
          </w:p>
        </w:tc>
        <w:tc>
          <w:tcPr>
            <w:tcW w:w="4508" w:type="dxa"/>
          </w:tcPr>
          <w:p w14:paraId="779D20D3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B01AC24</w:t>
            </w:r>
          </w:p>
        </w:tc>
      </w:tr>
      <w:tr w:rsidR="005A4C49" w:rsidRPr="008753B0" w14:paraId="1AB1B6E3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613D52B0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Selexipag</w:t>
            </w:r>
            <w:proofErr w:type="spellEnd"/>
          </w:p>
        </w:tc>
        <w:tc>
          <w:tcPr>
            <w:tcW w:w="4508" w:type="dxa"/>
          </w:tcPr>
          <w:p w14:paraId="089A18AF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B01AC27</w:t>
            </w:r>
          </w:p>
        </w:tc>
      </w:tr>
      <w:tr w:rsidR="005A4C49" w:rsidRPr="008753B0" w14:paraId="5B412D1C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2EC1D69E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Combinations</w:t>
            </w:r>
          </w:p>
        </w:tc>
        <w:tc>
          <w:tcPr>
            <w:tcW w:w="4508" w:type="dxa"/>
          </w:tcPr>
          <w:p w14:paraId="5D532F0F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B01AC30</w:t>
            </w:r>
          </w:p>
        </w:tc>
      </w:tr>
      <w:tr w:rsidR="005A4C49" w:rsidRPr="008753B0" w14:paraId="53EF81C6" w14:textId="77777777" w:rsidTr="009F3EC8">
        <w:trPr>
          <w:trHeight w:val="267"/>
        </w:trPr>
        <w:tc>
          <w:tcPr>
            <w:tcW w:w="9028" w:type="dxa"/>
            <w:gridSpan w:val="2"/>
            <w:shd w:val="clear" w:color="auto" w:fill="D9D9D9" w:themeFill="background1" w:themeFillShade="D9"/>
          </w:tcPr>
          <w:p w14:paraId="6E6C8321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Vitamin K antagonist (VKA)</w:t>
            </w:r>
          </w:p>
        </w:tc>
      </w:tr>
      <w:tr w:rsidR="005A4C49" w:rsidRPr="008753B0" w14:paraId="35E92D7C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26525B47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Warfarin</w:t>
            </w:r>
          </w:p>
        </w:tc>
        <w:tc>
          <w:tcPr>
            <w:tcW w:w="4508" w:type="dxa"/>
          </w:tcPr>
          <w:p w14:paraId="40847E2C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B01AA03</w:t>
            </w:r>
          </w:p>
        </w:tc>
      </w:tr>
      <w:tr w:rsidR="005A4C49" w:rsidRPr="008753B0" w14:paraId="371DEEBE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4D82BD2C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Phenprocoumon</w:t>
            </w:r>
          </w:p>
        </w:tc>
        <w:tc>
          <w:tcPr>
            <w:tcW w:w="4508" w:type="dxa"/>
          </w:tcPr>
          <w:p w14:paraId="2BA013A2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B01AA04</w:t>
            </w:r>
          </w:p>
        </w:tc>
      </w:tr>
      <w:tr w:rsidR="005A4C49" w:rsidRPr="008753B0" w14:paraId="38645689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125CAE0B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Acenocoumarol</w:t>
            </w:r>
          </w:p>
        </w:tc>
        <w:tc>
          <w:tcPr>
            <w:tcW w:w="4508" w:type="dxa"/>
          </w:tcPr>
          <w:p w14:paraId="088D8642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B01AA07</w:t>
            </w:r>
          </w:p>
        </w:tc>
      </w:tr>
      <w:tr w:rsidR="005A4C49" w:rsidRPr="008753B0" w14:paraId="70180805" w14:textId="77777777" w:rsidTr="009F3EC8">
        <w:trPr>
          <w:trHeight w:val="267"/>
        </w:trPr>
        <w:tc>
          <w:tcPr>
            <w:tcW w:w="9028" w:type="dxa"/>
            <w:gridSpan w:val="2"/>
            <w:shd w:val="clear" w:color="auto" w:fill="D9D9D9" w:themeFill="background1" w:themeFillShade="D9"/>
          </w:tcPr>
          <w:p w14:paraId="7C58A753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Non-vitamin K antagonist oral anticoagulant (NOAC)</w:t>
            </w:r>
          </w:p>
        </w:tc>
      </w:tr>
      <w:tr w:rsidR="005A4C49" w:rsidRPr="008753B0" w14:paraId="476651D3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64F8A52B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Dabigatran</w:t>
            </w:r>
          </w:p>
        </w:tc>
        <w:tc>
          <w:tcPr>
            <w:tcW w:w="4508" w:type="dxa"/>
          </w:tcPr>
          <w:p w14:paraId="31E55E7B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B01AE07</w:t>
            </w:r>
          </w:p>
        </w:tc>
      </w:tr>
      <w:tr w:rsidR="005A4C49" w:rsidRPr="008753B0" w14:paraId="32CC168F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3B5DEDE2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Rivaroxaban</w:t>
            </w:r>
          </w:p>
        </w:tc>
        <w:tc>
          <w:tcPr>
            <w:tcW w:w="4508" w:type="dxa"/>
          </w:tcPr>
          <w:p w14:paraId="1D7BD5F7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B01AF01</w:t>
            </w:r>
          </w:p>
        </w:tc>
      </w:tr>
      <w:tr w:rsidR="005A4C49" w:rsidRPr="008753B0" w14:paraId="6E33382C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5A8A3DC5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Apixaban</w:t>
            </w:r>
          </w:p>
        </w:tc>
        <w:tc>
          <w:tcPr>
            <w:tcW w:w="4508" w:type="dxa"/>
          </w:tcPr>
          <w:p w14:paraId="047095E5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B01AF02</w:t>
            </w:r>
          </w:p>
        </w:tc>
      </w:tr>
      <w:tr w:rsidR="005A4C49" w:rsidRPr="008753B0" w14:paraId="312FD1E5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3DFEE2DA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Edoxaban</w:t>
            </w:r>
          </w:p>
        </w:tc>
        <w:tc>
          <w:tcPr>
            <w:tcW w:w="4508" w:type="dxa"/>
          </w:tcPr>
          <w:p w14:paraId="76518A34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B01AF03</w:t>
            </w:r>
          </w:p>
        </w:tc>
      </w:tr>
      <w:tr w:rsidR="005A4C49" w:rsidRPr="008753B0" w14:paraId="1AE9E378" w14:textId="77777777" w:rsidTr="009F3EC8">
        <w:trPr>
          <w:trHeight w:val="267"/>
        </w:trPr>
        <w:tc>
          <w:tcPr>
            <w:tcW w:w="4520" w:type="dxa"/>
            <w:shd w:val="clear" w:color="auto" w:fill="A6A6A6" w:themeFill="background1" w:themeFillShade="A6"/>
          </w:tcPr>
          <w:p w14:paraId="12941257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Other medication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55904668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b/>
                <w:szCs w:val="22"/>
                <w:lang w:val="en-US"/>
              </w:rPr>
              <w:t>ACT code</w:t>
            </w:r>
          </w:p>
        </w:tc>
      </w:tr>
      <w:tr w:rsidR="005A4C49" w:rsidRPr="008753B0" w14:paraId="31303786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19C82459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Beta blocker</w:t>
            </w:r>
          </w:p>
        </w:tc>
        <w:tc>
          <w:tcPr>
            <w:tcW w:w="4508" w:type="dxa"/>
          </w:tcPr>
          <w:p w14:paraId="2E273530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C07</w:t>
            </w:r>
          </w:p>
        </w:tc>
      </w:tr>
      <w:tr w:rsidR="005A4C49" w:rsidRPr="008753B0" w14:paraId="28A868D3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21CED54A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Calcium channel blocker</w:t>
            </w:r>
          </w:p>
        </w:tc>
        <w:tc>
          <w:tcPr>
            <w:tcW w:w="4508" w:type="dxa"/>
          </w:tcPr>
          <w:p w14:paraId="16D947E9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C08</w:t>
            </w:r>
          </w:p>
        </w:tc>
      </w:tr>
      <w:tr w:rsidR="005A4C49" w:rsidRPr="008753B0" w14:paraId="3EF34065" w14:textId="77777777" w:rsidTr="009F3EC8">
        <w:trPr>
          <w:trHeight w:val="267"/>
        </w:trPr>
        <w:tc>
          <w:tcPr>
            <w:tcW w:w="4520" w:type="dxa"/>
            <w:shd w:val="clear" w:color="auto" w:fill="D9D9D9" w:themeFill="background1" w:themeFillShade="D9"/>
          </w:tcPr>
          <w:p w14:paraId="5FCA1C73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Digoxin</w:t>
            </w:r>
          </w:p>
        </w:tc>
        <w:tc>
          <w:tcPr>
            <w:tcW w:w="4508" w:type="dxa"/>
          </w:tcPr>
          <w:p w14:paraId="67B251A6" w14:textId="77777777" w:rsidR="005A4C49" w:rsidRPr="008753B0" w:rsidRDefault="005A4C49" w:rsidP="00A145C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753B0">
              <w:rPr>
                <w:rFonts w:ascii="Times New Roman" w:hAnsi="Times New Roman" w:cs="Times New Roman"/>
                <w:szCs w:val="22"/>
                <w:lang w:val="en-US"/>
              </w:rPr>
              <w:t>C01AA</w:t>
            </w:r>
          </w:p>
        </w:tc>
      </w:tr>
    </w:tbl>
    <w:p w14:paraId="14FA3C89" w14:textId="77777777" w:rsidR="005A4C49" w:rsidRDefault="005A4C49" w:rsidP="005A4C49">
      <w:pPr>
        <w:pStyle w:val="Bijschrift2"/>
        <w:spacing w:after="0" w:line="360" w:lineRule="auto"/>
        <w:rPr>
          <w:rFonts w:ascii="Arial" w:hAnsi="Arial" w:cs="Arial"/>
          <w:lang w:val="en-US"/>
        </w:rPr>
      </w:pPr>
    </w:p>
    <w:p w14:paraId="35A7B7EC" w14:textId="77777777" w:rsidR="00852324" w:rsidRDefault="00852324"/>
    <w:sectPr w:rsidR="008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9"/>
    <w:rsid w:val="00030E60"/>
    <w:rsid w:val="000E2558"/>
    <w:rsid w:val="00190C49"/>
    <w:rsid w:val="001A5F38"/>
    <w:rsid w:val="00217793"/>
    <w:rsid w:val="00285BED"/>
    <w:rsid w:val="002D09DB"/>
    <w:rsid w:val="002D5D66"/>
    <w:rsid w:val="002E3C9E"/>
    <w:rsid w:val="00412AC1"/>
    <w:rsid w:val="00435222"/>
    <w:rsid w:val="004A3018"/>
    <w:rsid w:val="005A4C49"/>
    <w:rsid w:val="005C7688"/>
    <w:rsid w:val="005D55E3"/>
    <w:rsid w:val="006D00D4"/>
    <w:rsid w:val="00721584"/>
    <w:rsid w:val="00741929"/>
    <w:rsid w:val="007B00D1"/>
    <w:rsid w:val="00836351"/>
    <w:rsid w:val="00852324"/>
    <w:rsid w:val="0086020C"/>
    <w:rsid w:val="008753B0"/>
    <w:rsid w:val="00880DC3"/>
    <w:rsid w:val="00885C2D"/>
    <w:rsid w:val="008F2467"/>
    <w:rsid w:val="0091409E"/>
    <w:rsid w:val="00927B11"/>
    <w:rsid w:val="0095580F"/>
    <w:rsid w:val="009F3EC8"/>
    <w:rsid w:val="00A145CE"/>
    <w:rsid w:val="00AA7ED2"/>
    <w:rsid w:val="00AD21FA"/>
    <w:rsid w:val="00AF41BF"/>
    <w:rsid w:val="00B678D0"/>
    <w:rsid w:val="00B802BF"/>
    <w:rsid w:val="00BB33D3"/>
    <w:rsid w:val="00BC158E"/>
    <w:rsid w:val="00BD6326"/>
    <w:rsid w:val="00C4406E"/>
    <w:rsid w:val="00C469B3"/>
    <w:rsid w:val="00C578FB"/>
    <w:rsid w:val="00C659A1"/>
    <w:rsid w:val="00C941D7"/>
    <w:rsid w:val="00CC46FB"/>
    <w:rsid w:val="00CD0F25"/>
    <w:rsid w:val="00D61544"/>
    <w:rsid w:val="00DE0C73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820B"/>
  <w15:chartTrackingRefBased/>
  <w15:docId w15:val="{D9443B9A-D067-45A6-BAA5-BD262C3C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4C4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4C49"/>
    <w:pPr>
      <w:spacing w:after="0" w:line="240" w:lineRule="auto"/>
    </w:pPr>
    <w:rPr>
      <w:rFonts w:ascii="Calibri" w:eastAsia="Calibri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schrift2">
    <w:name w:val="Bijschrift 2"/>
    <w:basedOn w:val="Bijschrift"/>
    <w:link w:val="Bijschrift2Char"/>
    <w:qFormat/>
    <w:rsid w:val="005A4C49"/>
    <w:pPr>
      <w:spacing w:after="240"/>
    </w:pPr>
    <w:rPr>
      <w:rFonts w:eastAsia="Calibri"/>
      <w:b/>
      <w:bCs/>
      <w:i w:val="0"/>
      <w:iCs w:val="0"/>
      <w:color w:val="auto"/>
      <w:szCs w:val="20"/>
      <w:lang w:val="en-GB"/>
    </w:rPr>
  </w:style>
  <w:style w:type="character" w:customStyle="1" w:styleId="Bijschrift2Char">
    <w:name w:val="Bijschrift 2 Char"/>
    <w:basedOn w:val="Standaardalinea-lettertype"/>
    <w:link w:val="Bijschrift2"/>
    <w:rsid w:val="005A4C49"/>
    <w:rPr>
      <w:rFonts w:eastAsia="Calibri"/>
      <w:b/>
      <w:bCs/>
      <w:sz w:val="18"/>
      <w:szCs w:val="20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4C4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Joosten-2, L.P.T. (Linda)</cp:lastModifiedBy>
  <cp:revision>5</cp:revision>
  <dcterms:created xsi:type="dcterms:W3CDTF">2021-12-31T17:24:00Z</dcterms:created>
  <dcterms:modified xsi:type="dcterms:W3CDTF">2022-01-05T16:12:00Z</dcterms:modified>
</cp:coreProperties>
</file>