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0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60"/>
        <w:gridCol w:w="1784"/>
        <w:gridCol w:w="1509"/>
        <w:gridCol w:w="1509"/>
        <w:gridCol w:w="1373"/>
        <w:gridCol w:w="1648"/>
      </w:tblGrid>
      <w:tr w:rsidR="008C7F6A" w:rsidRPr="008C7F6A" w14:paraId="0B7FD915" w14:textId="77777777" w:rsidTr="008C193B">
        <w:trPr>
          <w:trHeight w:val="256"/>
        </w:trPr>
        <w:tc>
          <w:tcPr>
            <w:tcW w:w="10019" w:type="dxa"/>
            <w:gridSpan w:val="7"/>
            <w:tcBorders>
              <w:bottom w:val="single" w:sz="4" w:space="0" w:color="auto"/>
            </w:tcBorders>
            <w:vAlign w:val="center"/>
          </w:tcPr>
          <w:p w14:paraId="055791C5" w14:textId="77777777" w:rsidR="008C7F6A" w:rsidRPr="008C7F6A" w:rsidRDefault="008C7F6A" w:rsidP="008C7F6A">
            <w:pPr>
              <w:spacing w:after="200" w:line="276" w:lineRule="auto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8C7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Suppl. Table 4.</w:t>
            </w:r>
            <w:r w:rsidRPr="008C7F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Prescription rates of HF medication  according to ESC Guidelines 2012 versus 2016 per participating clinic (</w:t>
            </w:r>
            <w:r w:rsidRPr="008C19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8C7F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=34</w:t>
            </w:r>
            <w:r w:rsidRPr="008C7F6A">
              <w:rPr>
                <w:rFonts w:ascii="Times New Roman" w:hAnsi="Times New Roman"/>
                <w:sz w:val="20"/>
                <w:szCs w:val="20"/>
                <w:lang w:val="en-US"/>
              </w:rPr>
              <w:t>), only for symptomatic patients</w:t>
            </w:r>
            <w:bookmarkStart w:id="0" w:name="_GoBack"/>
            <w:bookmarkEnd w:id="0"/>
          </w:p>
        </w:tc>
      </w:tr>
      <w:tr w:rsidR="008C7F6A" w:rsidRPr="008C7F6A" w14:paraId="4D7BFFD7" w14:textId="77777777" w:rsidTr="008C193B">
        <w:trPr>
          <w:trHeight w:val="365"/>
        </w:trPr>
        <w:tc>
          <w:tcPr>
            <w:tcW w:w="1236" w:type="dxa"/>
            <w:tcBorders>
              <w:top w:val="single" w:sz="4" w:space="0" w:color="auto"/>
            </w:tcBorders>
          </w:tcPr>
          <w:p w14:paraId="42B7BC0B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DB5BB6E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1EBC" w14:textId="77777777" w:rsidR="008C7F6A" w:rsidRPr="008C7F6A" w:rsidRDefault="008C7F6A" w:rsidP="008C7F6A">
            <w:pPr>
              <w:jc w:val="center"/>
              <w:rPr>
                <w:rFonts w:ascii="Calibri" w:hAnsi="Calibri"/>
                <w:lang w:val="en-US"/>
              </w:rPr>
            </w:pPr>
            <w:r w:rsidRPr="008C7F6A">
              <w:rPr>
                <w:rFonts w:ascii="Times New Roman" w:hAnsi="Times New Roman"/>
                <w:b/>
                <w:bCs/>
                <w:color w:val="000000"/>
                <w:lang w:val="en-US"/>
              </w:rPr>
              <w:t>Guideline-recommended pharmacotherapy (average % (min.-max.))</w:t>
            </w:r>
          </w:p>
        </w:tc>
      </w:tr>
      <w:tr w:rsidR="008C7F6A" w:rsidRPr="008C7F6A" w14:paraId="03194D29" w14:textId="77777777" w:rsidTr="008C193B">
        <w:trPr>
          <w:trHeight w:val="783"/>
        </w:trPr>
        <w:tc>
          <w:tcPr>
            <w:tcW w:w="1236" w:type="dxa"/>
          </w:tcPr>
          <w:p w14:paraId="2912CA60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60" w:type="dxa"/>
          </w:tcPr>
          <w:p w14:paraId="50EA9499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959C" w14:textId="18D869AD" w:rsidR="008C7F6A" w:rsidRPr="008C7F6A" w:rsidRDefault="008C7F6A" w:rsidP="008C7F6A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Beta</w:t>
            </w:r>
            <w:r w:rsidR="008C193B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blocker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F6E51" w14:textId="551C929F" w:rsidR="008C7F6A" w:rsidRPr="008C7F6A" w:rsidRDefault="008C7F6A" w:rsidP="008C7F6A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RAS</w:t>
            </w:r>
            <w:r w:rsidR="008C193B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inhibitor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01CD" w14:textId="77777777" w:rsidR="008C7F6A" w:rsidRPr="008C7F6A" w:rsidRDefault="008C7F6A" w:rsidP="008C7F6A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MRA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9F05C" w14:textId="77777777" w:rsidR="008C7F6A" w:rsidRPr="008C7F6A" w:rsidRDefault="008C7F6A" w:rsidP="008C7F6A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Ivabradine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DFED" w14:textId="77777777" w:rsidR="008C7F6A" w:rsidRPr="008C7F6A" w:rsidRDefault="008C7F6A" w:rsidP="008C7F6A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color w:val="000000"/>
                <w:lang w:val="en-US"/>
              </w:rPr>
              <w:t>Diuretics</w:t>
            </w:r>
          </w:p>
        </w:tc>
      </w:tr>
      <w:tr w:rsidR="008C7F6A" w:rsidRPr="008C7F6A" w14:paraId="47A91D6B" w14:textId="77777777" w:rsidTr="008C193B">
        <w:trPr>
          <w:trHeight w:val="140"/>
        </w:trPr>
        <w:tc>
          <w:tcPr>
            <w:tcW w:w="1236" w:type="dxa"/>
            <w:vAlign w:val="center"/>
          </w:tcPr>
          <w:p w14:paraId="7CB1CAFF" w14:textId="77777777" w:rsidR="008C7F6A" w:rsidRPr="008C7F6A" w:rsidRDefault="008C7F6A" w:rsidP="008C7F6A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bCs/>
                <w:color w:val="000000"/>
                <w:lang w:val="en-US"/>
              </w:rPr>
              <w:t>ESC Guidelines 2012</w:t>
            </w:r>
          </w:p>
        </w:tc>
        <w:tc>
          <w:tcPr>
            <w:tcW w:w="960" w:type="dxa"/>
            <w:vAlign w:val="center"/>
          </w:tcPr>
          <w:p w14:paraId="4BC5A62E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C7F6A">
              <w:rPr>
                <w:rFonts w:ascii="Times New Roman" w:hAnsi="Times New Roman"/>
                <w:color w:val="000000"/>
                <w:lang w:val="en-US"/>
              </w:rPr>
              <w:t>HFrEF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788501C2" w14:textId="77777777" w:rsidR="008C7F6A" w:rsidRPr="008C7F6A" w:rsidRDefault="008C7F6A" w:rsidP="008C7F6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80.2 (59.6-97.4)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21A16185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80.4 (50.0- 97.0)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4726F07A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55.5 (30.6-86.8)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3BE444E6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5.0 (0.0-40.9)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3F33F775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85.7 (65.9-100.0)</w:t>
            </w:r>
          </w:p>
        </w:tc>
      </w:tr>
      <w:tr w:rsidR="008C7F6A" w:rsidRPr="008C7F6A" w14:paraId="2AC115CF" w14:textId="77777777" w:rsidTr="008C193B">
        <w:trPr>
          <w:trHeight w:val="140"/>
        </w:trPr>
        <w:tc>
          <w:tcPr>
            <w:tcW w:w="1236" w:type="dxa"/>
          </w:tcPr>
          <w:p w14:paraId="3DDA6A83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60" w:type="dxa"/>
            <w:vAlign w:val="center"/>
          </w:tcPr>
          <w:p w14:paraId="7F34F8DB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84" w:type="dxa"/>
            <w:vAlign w:val="center"/>
          </w:tcPr>
          <w:p w14:paraId="2E3BDE86" w14:textId="77777777" w:rsidR="008C7F6A" w:rsidRPr="008C7F6A" w:rsidRDefault="008C7F6A" w:rsidP="008C7F6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49D482FC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78B1E23F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73" w:type="dxa"/>
            <w:vAlign w:val="center"/>
          </w:tcPr>
          <w:p w14:paraId="5B418FE2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7D39BAD2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</w:tr>
      <w:tr w:rsidR="008C7F6A" w:rsidRPr="008C7F6A" w14:paraId="031E99BD" w14:textId="77777777" w:rsidTr="008C193B">
        <w:trPr>
          <w:trHeight w:val="140"/>
        </w:trPr>
        <w:tc>
          <w:tcPr>
            <w:tcW w:w="1236" w:type="dxa"/>
            <w:vMerge w:val="restart"/>
            <w:vAlign w:val="center"/>
          </w:tcPr>
          <w:p w14:paraId="4C6E6211" w14:textId="77777777" w:rsidR="008C7F6A" w:rsidRPr="008C7F6A" w:rsidRDefault="008C7F6A" w:rsidP="008C7F6A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bCs/>
                <w:color w:val="000000"/>
                <w:lang w:val="en-US"/>
              </w:rPr>
              <w:t>ESC Guidelines</w:t>
            </w:r>
          </w:p>
          <w:p w14:paraId="41B50509" w14:textId="77777777" w:rsidR="008C7F6A" w:rsidRPr="008C7F6A" w:rsidRDefault="008C7F6A" w:rsidP="008C7F6A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b/>
                <w:bCs/>
                <w:color w:val="000000"/>
                <w:lang w:val="en-US"/>
              </w:rPr>
              <w:t>2016</w:t>
            </w:r>
          </w:p>
        </w:tc>
        <w:tc>
          <w:tcPr>
            <w:tcW w:w="960" w:type="dxa"/>
            <w:vAlign w:val="center"/>
          </w:tcPr>
          <w:p w14:paraId="588F0275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C7F6A">
              <w:rPr>
                <w:rFonts w:ascii="Times New Roman" w:hAnsi="Times New Roman"/>
                <w:color w:val="000000"/>
                <w:lang w:val="en-US"/>
              </w:rPr>
              <w:t>HFrEF</w:t>
            </w:r>
            <w:proofErr w:type="spellEnd"/>
          </w:p>
        </w:tc>
        <w:tc>
          <w:tcPr>
            <w:tcW w:w="1784" w:type="dxa"/>
            <w:vAlign w:val="center"/>
          </w:tcPr>
          <w:p w14:paraId="015E3AB1" w14:textId="77777777" w:rsidR="008C7F6A" w:rsidRPr="008C7F6A" w:rsidRDefault="008C7F6A" w:rsidP="008C7F6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81.3 (64.5-96.0)</w:t>
            </w:r>
          </w:p>
        </w:tc>
        <w:tc>
          <w:tcPr>
            <w:tcW w:w="1509" w:type="dxa"/>
            <w:vAlign w:val="center"/>
          </w:tcPr>
          <w:p w14:paraId="16FE5944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82.3 (54.0-97.3)</w:t>
            </w:r>
          </w:p>
        </w:tc>
        <w:tc>
          <w:tcPr>
            <w:tcW w:w="1509" w:type="dxa"/>
            <w:vAlign w:val="center"/>
          </w:tcPr>
          <w:p w14:paraId="36B34BB0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58.1 (34.7-88.0)</w:t>
            </w:r>
          </w:p>
        </w:tc>
        <w:tc>
          <w:tcPr>
            <w:tcW w:w="1373" w:type="dxa"/>
            <w:vAlign w:val="center"/>
          </w:tcPr>
          <w:p w14:paraId="176B76F2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5.7 (0.0-40.0)</w:t>
            </w:r>
          </w:p>
        </w:tc>
        <w:tc>
          <w:tcPr>
            <w:tcW w:w="1647" w:type="dxa"/>
            <w:vAlign w:val="center"/>
          </w:tcPr>
          <w:p w14:paraId="10BECF2D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85.5 (65.9-100.0)</w:t>
            </w:r>
          </w:p>
        </w:tc>
      </w:tr>
      <w:tr w:rsidR="008C7F6A" w:rsidRPr="008C7F6A" w14:paraId="44F14136" w14:textId="77777777" w:rsidTr="008C193B">
        <w:trPr>
          <w:trHeight w:val="140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47FC9777" w14:textId="77777777" w:rsidR="008C7F6A" w:rsidRPr="008C7F6A" w:rsidRDefault="008C7F6A" w:rsidP="008C7F6A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04B85BA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C7F6A">
              <w:rPr>
                <w:rFonts w:ascii="Times New Roman" w:hAnsi="Times New Roman"/>
                <w:color w:val="000000"/>
                <w:lang w:val="en-US"/>
              </w:rPr>
              <w:t>HFmrEF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2C5604B7" w14:textId="77777777" w:rsidR="008C7F6A" w:rsidRPr="008C7F6A" w:rsidRDefault="008C7F6A" w:rsidP="008C7F6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78.2 (30.8-100.0)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7AFFB9A4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75.6 (33.3-100.0)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3F81CEA0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49.1 (23.6-100.0)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1E0A850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 xml:space="preserve">3.6 (0.0-50.0) 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52A5FD3F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84.4 (63.6-100.0)</w:t>
            </w:r>
          </w:p>
        </w:tc>
      </w:tr>
      <w:tr w:rsidR="008C7F6A" w:rsidRPr="008C7F6A" w14:paraId="38C312EB" w14:textId="77777777" w:rsidTr="008C193B">
        <w:trPr>
          <w:trHeight w:val="14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A0F6" w14:textId="77777777" w:rsidR="008C7F6A" w:rsidRPr="008C7F6A" w:rsidRDefault="008C7F6A" w:rsidP="008C7F6A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F03B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C7F6A">
              <w:rPr>
                <w:rFonts w:ascii="Times New Roman" w:hAnsi="Times New Roman"/>
                <w:color w:val="000000"/>
                <w:lang w:val="en-US"/>
              </w:rPr>
              <w:t>HFsemiq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F2CE" w14:textId="77777777" w:rsidR="008C7F6A" w:rsidRPr="008C7F6A" w:rsidRDefault="008C7F6A" w:rsidP="008C7F6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77.3 (0.0-100.0)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9ADD6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77.1 (33.3-100.0)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EE541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50.2 (0.0-100.0)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A16B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3.0 (0.0-30.8)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63F30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8C7F6A">
              <w:rPr>
                <w:rFonts w:ascii="Times New Roman" w:hAnsi="Times New Roman"/>
                <w:color w:val="000000"/>
                <w:lang w:val="en-US"/>
              </w:rPr>
              <w:t>88.8 (69.2-100.0)</w:t>
            </w:r>
          </w:p>
        </w:tc>
      </w:tr>
      <w:tr w:rsidR="008C7F6A" w:rsidRPr="008C7F6A" w14:paraId="57667DFC" w14:textId="77777777" w:rsidTr="008C193B">
        <w:trPr>
          <w:trHeight w:val="140"/>
        </w:trPr>
        <w:tc>
          <w:tcPr>
            <w:tcW w:w="10019" w:type="dxa"/>
            <w:gridSpan w:val="7"/>
          </w:tcPr>
          <w:p w14:paraId="2EB98C3A" w14:textId="77777777" w:rsidR="008C7F6A" w:rsidRPr="008C7F6A" w:rsidRDefault="008C7F6A" w:rsidP="008C7F6A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5238657B" w14:textId="77777777" w:rsidR="008C193B" w:rsidRPr="00D5470C" w:rsidRDefault="008C193B" w:rsidP="008C193B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HF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h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eart </w:t>
            </w:r>
            <w:r>
              <w:rPr>
                <w:rFonts w:ascii="Times New Roman" w:hAnsi="Times New Roman"/>
                <w:color w:val="000000"/>
                <w:lang w:val="en-GB"/>
              </w:rPr>
              <w:t>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ailure; </w:t>
            </w: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HFrEF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HF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with reduced </w:t>
            </w:r>
            <w:r>
              <w:rPr>
                <w:rFonts w:ascii="Times New Roman" w:hAnsi="Times New Roman"/>
                <w:color w:val="000000"/>
                <w:lang w:val="en-GB"/>
              </w:rPr>
              <w:t>e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jection </w:t>
            </w:r>
            <w:r>
              <w:rPr>
                <w:rFonts w:ascii="Times New Roman" w:hAnsi="Times New Roman"/>
                <w:color w:val="000000"/>
                <w:lang w:val="en-GB"/>
              </w:rPr>
              <w:t>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>raction</w:t>
            </w:r>
            <w:r>
              <w:rPr>
                <w:rFonts w:ascii="Times New Roman" w:hAnsi="Times New Roman"/>
                <w:color w:val="000000"/>
                <w:lang w:val="en-GB"/>
              </w:rPr>
              <w:t>,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HFmrEF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HF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with mid-range ejection fraction</w:t>
            </w:r>
            <w:r>
              <w:rPr>
                <w:rFonts w:ascii="Times New Roman" w:hAnsi="Times New Roman"/>
                <w:color w:val="000000"/>
                <w:lang w:val="en-GB"/>
              </w:rPr>
              <w:t>,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14:paraId="589A127A" w14:textId="77777777" w:rsidR="008C193B" w:rsidRPr="00D5470C" w:rsidRDefault="008C193B" w:rsidP="008C193B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HFsemiq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HF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with </w:t>
            </w:r>
            <w:proofErr w:type="spellStart"/>
            <w:r w:rsidRPr="00D5470C">
              <w:rPr>
                <w:rFonts w:ascii="Times New Roman" w:hAnsi="Times New Roman"/>
                <w:color w:val="000000"/>
                <w:lang w:val="en-GB"/>
              </w:rPr>
              <w:t>semiquantitatively</w:t>
            </w:r>
            <w:proofErr w:type="spellEnd"/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estimated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left ventricular ejection fraction -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though &lt;50%</w:t>
            </w:r>
            <w:r>
              <w:rPr>
                <w:rFonts w:ascii="Times New Roman" w:hAnsi="Times New Roman"/>
                <w:color w:val="000000"/>
                <w:lang w:val="en-GB"/>
              </w:rPr>
              <w:t>,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ESC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European Society of Cardiology</w:t>
            </w:r>
            <w:r>
              <w:rPr>
                <w:rFonts w:ascii="Times New Roman" w:hAnsi="Times New Roman"/>
                <w:color w:val="000000"/>
                <w:lang w:val="en-GB"/>
              </w:rPr>
              <w:t>,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14:paraId="01C73492" w14:textId="29C3A74A" w:rsidR="008C193B" w:rsidRPr="008C7F6A" w:rsidRDefault="008C193B" w:rsidP="008C193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RAS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renin-angiotensin system</w:t>
            </w:r>
            <w:r>
              <w:rPr>
                <w:rFonts w:ascii="Times New Roman" w:hAnsi="Times New Roman"/>
                <w:color w:val="000000"/>
                <w:lang w:val="en-GB"/>
              </w:rPr>
              <w:t>,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0D36E1">
              <w:rPr>
                <w:rFonts w:ascii="Times New Roman" w:hAnsi="Times New Roman"/>
                <w:i/>
                <w:iCs/>
                <w:color w:val="000000"/>
                <w:lang w:val="en-GB"/>
              </w:rPr>
              <w:t>MRA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 xml:space="preserve"> mineralocorticoid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D5470C">
              <w:rPr>
                <w:rFonts w:ascii="Times New Roman" w:hAnsi="Times New Roman"/>
                <w:color w:val="000000"/>
                <w:lang w:val="en-GB"/>
              </w:rPr>
              <w:t>receptor antagonists</w:t>
            </w:r>
          </w:p>
          <w:p w14:paraId="22F2CB1B" w14:textId="77777777" w:rsidR="008C7F6A" w:rsidRPr="008C7F6A" w:rsidRDefault="008C7F6A" w:rsidP="008C7F6A">
            <w:pPr>
              <w:rPr>
                <w:rFonts w:ascii="Calibri" w:hAnsi="Calibri"/>
                <w:lang w:val="en-US"/>
              </w:rPr>
            </w:pPr>
          </w:p>
        </w:tc>
      </w:tr>
    </w:tbl>
    <w:p w14:paraId="11FC08B6" w14:textId="77777777" w:rsidR="00FE72CB" w:rsidRPr="00222FEF" w:rsidRDefault="00FE72CB" w:rsidP="00206C7E"/>
    <w:sectPr w:rsidR="00FE72CB" w:rsidRPr="00222F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F6A"/>
    <w:rsid w:val="00206C7E"/>
    <w:rsid w:val="00222FEF"/>
    <w:rsid w:val="003442CD"/>
    <w:rsid w:val="008C193B"/>
    <w:rsid w:val="008C7F6A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7A38"/>
  <w15:docId w15:val="{02761611-B4A0-479C-9932-B8AA946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table" w:customStyle="1" w:styleId="TableGrid11">
    <w:name w:val="Table Grid11"/>
    <w:basedOn w:val="Standaardtabel"/>
    <w:next w:val="Tabelraster"/>
    <w:uiPriority w:val="59"/>
    <w:rsid w:val="008C7F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8C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B5DA49C1C141B7C585AC6F7054B8" ma:contentTypeVersion="12" ma:contentTypeDescription="Een nieuw document maken." ma:contentTypeScope="" ma:versionID="62e0064ec5e92d2e3435ec68f1361f1e">
  <xsd:schema xmlns:xsd="http://www.w3.org/2001/XMLSchema" xmlns:xs="http://www.w3.org/2001/XMLSchema" xmlns:p="http://schemas.microsoft.com/office/2006/metadata/properties" xmlns:ns3="fef74aec-57ad-4873-ab4a-b3d6552f9b8d" xmlns:ns4="1ecf5adb-7616-41b2-aafe-56e709eeb048" targetNamespace="http://schemas.microsoft.com/office/2006/metadata/properties" ma:root="true" ma:fieldsID="a33f94ac8689dab9f65f6b4a6037a935" ns3:_="" ns4:_="">
    <xsd:import namespace="fef74aec-57ad-4873-ab4a-b3d6552f9b8d"/>
    <xsd:import namespace="1ecf5adb-7616-41b2-aafe-56e709eeb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4aec-57ad-4873-ab4a-b3d6552f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5adb-7616-41b2-aafe-56e709eeb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C09B1-49D6-4273-9430-4D0A5CA64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484F1-918C-4129-A68F-91CA1A4F3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3D9C8-1170-4F69-8CCB-1EE236223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4aec-57ad-4873-ab4a-b3d6552f9b8d"/>
    <ds:schemaRef ds:uri="1ecf5adb-7616-41b2-aafe-56e709eeb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G Dr.</dc:creator>
  <cp:lastModifiedBy>Margreet</cp:lastModifiedBy>
  <cp:revision>3</cp:revision>
  <dcterms:created xsi:type="dcterms:W3CDTF">2020-03-16T11:21:00Z</dcterms:created>
  <dcterms:modified xsi:type="dcterms:W3CDTF">2020-03-23T14:30:00Z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0x010100700CB5DA49C1C141B7C585AC6F7054B8</vt:lpwstr>
  </property>
</Properties>
</file>