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3C6" w:rsidRPr="00E07D80" w:rsidRDefault="000F43C6" w:rsidP="000F43C6">
      <w:pPr>
        <w:spacing w:line="276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E07D80">
        <w:rPr>
          <w:rFonts w:ascii="Times New Roman" w:hAnsi="Times New Roman" w:cs="Times New Roman"/>
          <w:b/>
          <w:sz w:val="20"/>
          <w:szCs w:val="20"/>
          <w:lang w:val="en-GB"/>
        </w:rPr>
        <w:t>Electronic supplementary material</w:t>
      </w:r>
    </w:p>
    <w:p w:rsidR="000F43C6" w:rsidRPr="00E07D80" w:rsidRDefault="000F43C6" w:rsidP="000F43C6">
      <w:pPr>
        <w:spacing w:line="276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0F43C6" w:rsidRPr="00E07D80" w:rsidRDefault="000F43C6" w:rsidP="000F43C6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07D80">
        <w:rPr>
          <w:rFonts w:ascii="Times New Roman" w:hAnsi="Times New Roman" w:cs="Times New Roman"/>
          <w:sz w:val="20"/>
          <w:szCs w:val="20"/>
          <w:lang w:val="en-GB"/>
        </w:rPr>
        <w:t>Appendix 1 – Definitions of outcomes</w:t>
      </w:r>
    </w:p>
    <w:p w:rsidR="000F43C6" w:rsidRPr="00E07D80" w:rsidRDefault="000F43C6" w:rsidP="000F43C6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07D80">
        <w:rPr>
          <w:rFonts w:ascii="Times New Roman" w:hAnsi="Times New Roman" w:cs="Times New Roman"/>
          <w:sz w:val="20"/>
          <w:szCs w:val="20"/>
          <w:lang w:val="en-GB"/>
        </w:rPr>
        <w:t>Appendix 2 – Events on-treatment analysis</w:t>
      </w:r>
    </w:p>
    <w:p w:rsidR="000F43C6" w:rsidRPr="00E07D80" w:rsidRDefault="000F43C6" w:rsidP="000F43C6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07D80">
        <w:rPr>
          <w:rFonts w:ascii="Times New Roman" w:hAnsi="Times New Roman" w:cs="Times New Roman"/>
          <w:sz w:val="20"/>
          <w:szCs w:val="20"/>
          <w:lang w:val="en-GB"/>
        </w:rPr>
        <w:t>Appendix 3 – Bleeding sites</w:t>
      </w:r>
    </w:p>
    <w:p w:rsidR="000F43C6" w:rsidRPr="00E07D80" w:rsidRDefault="000F43C6" w:rsidP="000F43C6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07D80">
        <w:rPr>
          <w:rFonts w:ascii="Times New Roman" w:hAnsi="Times New Roman" w:cs="Times New Roman"/>
          <w:sz w:val="20"/>
          <w:szCs w:val="20"/>
          <w:lang w:val="en-GB"/>
        </w:rPr>
        <w:t>Appendix 4 – Baseline characteristics according to dose group</w:t>
      </w:r>
    </w:p>
    <w:p w:rsidR="000F43C6" w:rsidRPr="00E07D80" w:rsidRDefault="000F43C6" w:rsidP="000F43C6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0F43C6" w:rsidRPr="00E07D80" w:rsidRDefault="000F43C6" w:rsidP="000F43C6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0F43C6" w:rsidRPr="00E07D80" w:rsidRDefault="000F43C6" w:rsidP="000F43C6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  <w:lang w:val="en-GB"/>
        </w:rPr>
      </w:pPr>
      <w:r w:rsidRPr="00E07D80">
        <w:rPr>
          <w:rFonts w:ascii="Times New Roman" w:hAnsi="Times New Roman" w:cs="Times New Roman"/>
          <w:sz w:val="20"/>
          <w:szCs w:val="20"/>
          <w:u w:val="single"/>
          <w:lang w:val="en-GB"/>
        </w:rPr>
        <w:t>1 – Definitions of outcomes</w:t>
      </w:r>
    </w:p>
    <w:p w:rsidR="000F43C6" w:rsidRPr="00E07D80" w:rsidRDefault="000F43C6" w:rsidP="000F43C6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F43C6" w:rsidRPr="00E07D80" w:rsidRDefault="000F43C6" w:rsidP="000F43C6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07D80">
        <w:rPr>
          <w:rFonts w:ascii="Times New Roman" w:hAnsi="Times New Roman" w:cs="Times New Roman"/>
          <w:b/>
          <w:sz w:val="20"/>
          <w:szCs w:val="20"/>
          <w:lang w:val="en-US"/>
        </w:rPr>
        <w:t>1) ISTH bleeding</w:t>
      </w:r>
    </w:p>
    <w:p w:rsidR="000F43C6" w:rsidRPr="00E07D80" w:rsidRDefault="000F43C6" w:rsidP="000F43C6">
      <w:pPr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0F43C6" w:rsidRPr="00E07D80" w:rsidRDefault="000F43C6" w:rsidP="000F43C6">
      <w:pPr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07D80">
        <w:rPr>
          <w:rFonts w:ascii="Times New Roman" w:hAnsi="Times New Roman" w:cs="Times New Roman"/>
          <w:i/>
          <w:sz w:val="20"/>
          <w:szCs w:val="20"/>
          <w:lang w:val="en-US"/>
        </w:rPr>
        <w:t>Major bleeding:</w:t>
      </w:r>
    </w:p>
    <w:p w:rsidR="000F43C6" w:rsidRPr="00E07D80" w:rsidRDefault="000F43C6" w:rsidP="000F43C6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07D80">
        <w:rPr>
          <w:rFonts w:ascii="Times New Roman" w:hAnsi="Times New Roman" w:cs="Times New Roman"/>
          <w:sz w:val="20"/>
          <w:szCs w:val="20"/>
          <w:lang w:val="en-GB"/>
        </w:rPr>
        <w:t>This is defined as overt bleeding associated with:</w:t>
      </w:r>
    </w:p>
    <w:p w:rsidR="000F43C6" w:rsidRPr="00E07D80" w:rsidRDefault="000F43C6" w:rsidP="000F43C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07D80">
        <w:rPr>
          <w:rFonts w:ascii="Times New Roman" w:hAnsi="Times New Roman" w:cs="Times New Roman"/>
          <w:sz w:val="20"/>
          <w:szCs w:val="20"/>
          <w:lang w:val="en-GB"/>
        </w:rPr>
        <w:t xml:space="preserve">a fall in </w:t>
      </w:r>
      <w:proofErr w:type="spellStart"/>
      <w:r w:rsidRPr="00E07D80">
        <w:rPr>
          <w:rFonts w:ascii="Times New Roman" w:hAnsi="Times New Roman" w:cs="Times New Roman"/>
          <w:sz w:val="20"/>
          <w:szCs w:val="20"/>
          <w:lang w:val="en-GB"/>
        </w:rPr>
        <w:t>hemoglobin</w:t>
      </w:r>
      <w:proofErr w:type="spellEnd"/>
      <w:r w:rsidRPr="00E07D80">
        <w:rPr>
          <w:rFonts w:ascii="Times New Roman" w:hAnsi="Times New Roman" w:cs="Times New Roman"/>
          <w:sz w:val="20"/>
          <w:szCs w:val="20"/>
          <w:lang w:val="en-GB"/>
        </w:rPr>
        <w:t xml:space="preserve"> of ≥2 g/</w:t>
      </w:r>
      <w:proofErr w:type="spellStart"/>
      <w:r w:rsidRPr="00E07D80">
        <w:rPr>
          <w:rFonts w:ascii="Times New Roman" w:hAnsi="Times New Roman" w:cs="Times New Roman"/>
          <w:sz w:val="20"/>
          <w:szCs w:val="20"/>
          <w:lang w:val="en-GB"/>
        </w:rPr>
        <w:t>dL</w:t>
      </w:r>
      <w:proofErr w:type="spellEnd"/>
    </w:p>
    <w:p w:rsidR="000F43C6" w:rsidRPr="00E07D80" w:rsidRDefault="000F43C6" w:rsidP="000F43C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07D80">
        <w:rPr>
          <w:rFonts w:ascii="Times New Roman" w:hAnsi="Times New Roman" w:cs="Times New Roman"/>
          <w:sz w:val="20"/>
          <w:szCs w:val="20"/>
          <w:lang w:val="en-GB"/>
        </w:rPr>
        <w:t>a transfusion of two or more units of packed red blood cells or whole blood</w:t>
      </w:r>
    </w:p>
    <w:p w:rsidR="000F43C6" w:rsidRPr="00E07D80" w:rsidRDefault="000F43C6" w:rsidP="000F43C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07D80">
        <w:rPr>
          <w:rFonts w:ascii="Times New Roman" w:hAnsi="Times New Roman" w:cs="Times New Roman"/>
          <w:sz w:val="20"/>
          <w:szCs w:val="20"/>
          <w:lang w:val="en-GB"/>
        </w:rPr>
        <w:t>occurrence at a critical site (intracranial, intraspinal, intraocular, pericardial, intra-articular, intramuscular with compartment syndrome, retroperitoneal)</w:t>
      </w:r>
    </w:p>
    <w:p w:rsidR="000F43C6" w:rsidRPr="00E07D80" w:rsidRDefault="000F43C6" w:rsidP="000F43C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07D80">
        <w:rPr>
          <w:rFonts w:ascii="Times New Roman" w:hAnsi="Times New Roman" w:cs="Times New Roman"/>
          <w:sz w:val="20"/>
          <w:szCs w:val="20"/>
          <w:lang w:val="en-GB"/>
        </w:rPr>
        <w:t>death.</w:t>
      </w:r>
    </w:p>
    <w:p w:rsidR="000F43C6" w:rsidRPr="00E07D80" w:rsidRDefault="000F43C6" w:rsidP="000F43C6">
      <w:pPr>
        <w:spacing w:line="360" w:lineRule="auto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E07D80">
        <w:rPr>
          <w:rFonts w:ascii="Times New Roman" w:hAnsi="Times New Roman" w:cs="Times New Roman"/>
          <w:i/>
          <w:sz w:val="20"/>
          <w:szCs w:val="20"/>
          <w:lang w:val="en-GB"/>
        </w:rPr>
        <w:t>Clinically relevant, non-major (CRNM) bleeding:</w:t>
      </w:r>
    </w:p>
    <w:p w:rsidR="000F43C6" w:rsidRPr="00E07D80" w:rsidRDefault="000F43C6" w:rsidP="000F43C6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07D80">
        <w:rPr>
          <w:rFonts w:ascii="Times New Roman" w:hAnsi="Times New Roman" w:cs="Times New Roman"/>
          <w:sz w:val="20"/>
          <w:szCs w:val="20"/>
          <w:lang w:val="en-GB"/>
        </w:rPr>
        <w:t xml:space="preserve"> A clinically relevant minor bleed is an acute or subacute clinically overt bleed that does not meet the criteria for a major bleed but prompts a clinical response, in that it leads to at least one of the following: </w:t>
      </w:r>
    </w:p>
    <w:p w:rsidR="000F43C6" w:rsidRPr="00E07D80" w:rsidRDefault="000F43C6" w:rsidP="000F43C6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07D80">
        <w:rPr>
          <w:rFonts w:ascii="Times New Roman" w:hAnsi="Times New Roman" w:cs="Times New Roman"/>
          <w:sz w:val="20"/>
          <w:szCs w:val="20"/>
          <w:lang w:val="en-GB"/>
        </w:rPr>
        <w:t>A hospital admission for bleeding, or</w:t>
      </w:r>
    </w:p>
    <w:p w:rsidR="000F43C6" w:rsidRPr="00E07D80" w:rsidRDefault="000F43C6" w:rsidP="000F43C6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07D80">
        <w:rPr>
          <w:rFonts w:ascii="Times New Roman" w:hAnsi="Times New Roman" w:cs="Times New Roman"/>
          <w:sz w:val="20"/>
          <w:szCs w:val="20"/>
          <w:lang w:val="en-GB"/>
        </w:rPr>
        <w:t>A physician guided medical or surgical treatment for bleeding, or</w:t>
      </w:r>
    </w:p>
    <w:p w:rsidR="000F43C6" w:rsidRPr="00E07D80" w:rsidRDefault="000F43C6" w:rsidP="000F43C6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07D80">
        <w:rPr>
          <w:rFonts w:ascii="Times New Roman" w:hAnsi="Times New Roman" w:cs="Times New Roman"/>
          <w:sz w:val="20"/>
          <w:szCs w:val="20"/>
          <w:lang w:val="en-GB"/>
        </w:rPr>
        <w:t>A change in antithrombotic therapy (including interruption or discontinuation of study drug).</w:t>
      </w:r>
    </w:p>
    <w:p w:rsidR="000F43C6" w:rsidRPr="00E07D80" w:rsidRDefault="000F43C6" w:rsidP="000F43C6">
      <w:pPr>
        <w:spacing w:line="360" w:lineRule="auto"/>
        <w:rPr>
          <w:rFonts w:ascii="Times New Roman" w:hAnsi="Times New Roman" w:cs="Times New Roman"/>
          <w:i/>
          <w:sz w:val="20"/>
          <w:szCs w:val="20"/>
          <w:u w:val="single"/>
          <w:lang w:val="en-GB"/>
        </w:rPr>
      </w:pPr>
      <w:r w:rsidRPr="00E07D80">
        <w:rPr>
          <w:rFonts w:ascii="Times New Roman" w:hAnsi="Times New Roman" w:cs="Times New Roman"/>
          <w:i/>
          <w:sz w:val="20"/>
          <w:szCs w:val="20"/>
          <w:u w:val="single"/>
          <w:lang w:val="en-GB"/>
        </w:rPr>
        <w:t>Minor bleeding:</w:t>
      </w:r>
    </w:p>
    <w:p w:rsidR="000F43C6" w:rsidRPr="00E07D80" w:rsidRDefault="000F43C6" w:rsidP="000F43C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E07D80">
        <w:rPr>
          <w:rFonts w:ascii="Times New Roman" w:hAnsi="Times New Roman" w:cs="Times New Roman"/>
          <w:sz w:val="20"/>
          <w:szCs w:val="20"/>
          <w:lang w:val="en-GB"/>
        </w:rPr>
        <w:t>All other overt bleeding episodes not meeting the criteria for major or clinically relevant nonmajor bleeding.</w:t>
      </w:r>
    </w:p>
    <w:p w:rsidR="000F43C6" w:rsidRPr="00E07D80" w:rsidRDefault="000F43C6" w:rsidP="000F43C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0F43C6" w:rsidRPr="00E07D80" w:rsidRDefault="000F43C6" w:rsidP="000F43C6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E07D80">
        <w:rPr>
          <w:rFonts w:ascii="Times New Roman" w:hAnsi="Times New Roman" w:cs="Times New Roman"/>
          <w:b/>
          <w:sz w:val="20"/>
          <w:szCs w:val="20"/>
          <w:lang w:val="en-GB"/>
        </w:rPr>
        <w:t>2) Stroke</w:t>
      </w:r>
    </w:p>
    <w:p w:rsidR="000F43C6" w:rsidRPr="00E07D80" w:rsidRDefault="000F43C6" w:rsidP="000F43C6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0F43C6" w:rsidRPr="00E07D80" w:rsidRDefault="000F43C6" w:rsidP="000F43C6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07D80">
        <w:rPr>
          <w:rFonts w:ascii="Times New Roman" w:hAnsi="Times New Roman" w:cs="Times New Roman"/>
          <w:sz w:val="20"/>
          <w:szCs w:val="20"/>
          <w:lang w:val="en-GB"/>
        </w:rPr>
        <w:t xml:space="preserve">Stroke is defined as a new, sudden, focal neurologic deficit resulting from a presumed cerebrovascular cause that is not reversible within 24 hours and not due to a readily identifiable cause, such as a </w:t>
      </w:r>
      <w:proofErr w:type="spellStart"/>
      <w:r w:rsidRPr="00E07D80">
        <w:rPr>
          <w:rFonts w:ascii="Times New Roman" w:hAnsi="Times New Roman" w:cs="Times New Roman"/>
          <w:sz w:val="20"/>
          <w:szCs w:val="20"/>
          <w:lang w:val="en-GB"/>
        </w:rPr>
        <w:t>tumor</w:t>
      </w:r>
      <w:proofErr w:type="spellEnd"/>
      <w:r w:rsidRPr="00E07D80">
        <w:rPr>
          <w:rFonts w:ascii="Times New Roman" w:hAnsi="Times New Roman" w:cs="Times New Roman"/>
          <w:sz w:val="20"/>
          <w:szCs w:val="20"/>
          <w:lang w:val="en-GB"/>
        </w:rPr>
        <w:t xml:space="preserve"> or seizure.</w:t>
      </w:r>
    </w:p>
    <w:p w:rsidR="000F43C6" w:rsidRPr="00E07D80" w:rsidRDefault="000F43C6" w:rsidP="000F43C6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0F43C6" w:rsidRPr="00E07D80" w:rsidRDefault="000F43C6" w:rsidP="000F43C6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07D80">
        <w:rPr>
          <w:rFonts w:ascii="Times New Roman" w:hAnsi="Times New Roman" w:cs="Times New Roman"/>
          <w:sz w:val="20"/>
          <w:szCs w:val="20"/>
          <w:lang w:val="en-GB"/>
        </w:rPr>
        <w:t>Whenever possible, computed tomography scanning or magnetic resonance imaging should be used to assist in the classification. Stroke will be classified as:</w:t>
      </w:r>
    </w:p>
    <w:p w:rsidR="000F43C6" w:rsidRPr="00E07D80" w:rsidRDefault="000F43C6" w:rsidP="000F43C6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07D80">
        <w:rPr>
          <w:rFonts w:ascii="Times New Roman" w:hAnsi="Times New Roman" w:cs="Times New Roman"/>
          <w:i/>
          <w:sz w:val="20"/>
          <w:szCs w:val="20"/>
          <w:lang w:val="en-GB"/>
        </w:rPr>
        <w:t xml:space="preserve">primary </w:t>
      </w:r>
      <w:proofErr w:type="spellStart"/>
      <w:r w:rsidRPr="00E07D80">
        <w:rPr>
          <w:rFonts w:ascii="Times New Roman" w:hAnsi="Times New Roman" w:cs="Times New Roman"/>
          <w:i/>
          <w:sz w:val="20"/>
          <w:szCs w:val="20"/>
          <w:lang w:val="en-GB"/>
        </w:rPr>
        <w:t>hemorrhagic</w:t>
      </w:r>
      <w:proofErr w:type="spellEnd"/>
      <w:r w:rsidRPr="00E07D80">
        <w:rPr>
          <w:rFonts w:ascii="Times New Roman" w:hAnsi="Times New Roman" w:cs="Times New Roman"/>
          <w:sz w:val="20"/>
          <w:szCs w:val="20"/>
          <w:lang w:val="en-GB"/>
        </w:rPr>
        <w:t xml:space="preserve"> – stroke with focal collections of intracerebral blood; </w:t>
      </w:r>
      <w:proofErr w:type="spellStart"/>
      <w:r w:rsidRPr="00E07D80">
        <w:rPr>
          <w:rFonts w:ascii="Times New Roman" w:hAnsi="Times New Roman" w:cs="Times New Roman"/>
          <w:sz w:val="20"/>
          <w:szCs w:val="20"/>
          <w:lang w:val="en-GB"/>
        </w:rPr>
        <w:t>hemorrhagic</w:t>
      </w:r>
      <w:proofErr w:type="spellEnd"/>
      <w:r w:rsidRPr="00E07D80">
        <w:rPr>
          <w:rFonts w:ascii="Times New Roman" w:hAnsi="Times New Roman" w:cs="Times New Roman"/>
          <w:sz w:val="20"/>
          <w:szCs w:val="20"/>
          <w:lang w:val="en-GB"/>
        </w:rPr>
        <w:t xml:space="preserve"> stroke will be recorded as bleeding and as stroke; note that subarachnoid, subdural, and epidural </w:t>
      </w:r>
      <w:proofErr w:type="spellStart"/>
      <w:r w:rsidRPr="00E07D80">
        <w:rPr>
          <w:rFonts w:ascii="Times New Roman" w:hAnsi="Times New Roman" w:cs="Times New Roman"/>
          <w:sz w:val="20"/>
          <w:szCs w:val="20"/>
          <w:lang w:val="en-GB"/>
        </w:rPr>
        <w:t>hemorrhages</w:t>
      </w:r>
      <w:proofErr w:type="spellEnd"/>
      <w:r w:rsidRPr="00E07D80">
        <w:rPr>
          <w:rFonts w:ascii="Times New Roman" w:hAnsi="Times New Roman" w:cs="Times New Roman"/>
          <w:sz w:val="20"/>
          <w:szCs w:val="20"/>
          <w:lang w:val="en-GB"/>
        </w:rPr>
        <w:t xml:space="preserve"> will be recorded as bleeding events</w:t>
      </w:r>
    </w:p>
    <w:p w:rsidR="000F43C6" w:rsidRPr="00E07D80" w:rsidRDefault="000F43C6" w:rsidP="000F43C6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07D80">
        <w:rPr>
          <w:rFonts w:ascii="Times New Roman" w:hAnsi="Times New Roman" w:cs="Times New Roman"/>
          <w:i/>
          <w:sz w:val="20"/>
          <w:szCs w:val="20"/>
          <w:lang w:val="en-GB"/>
        </w:rPr>
        <w:t>primary ischemic</w:t>
      </w:r>
      <w:r w:rsidRPr="00E07D80">
        <w:rPr>
          <w:rFonts w:ascii="Times New Roman" w:hAnsi="Times New Roman" w:cs="Times New Roman"/>
          <w:sz w:val="20"/>
          <w:szCs w:val="20"/>
          <w:lang w:val="en-GB"/>
        </w:rPr>
        <w:t xml:space="preserve"> – stroke without focal collections of intracranial blood; </w:t>
      </w:r>
      <w:proofErr w:type="spellStart"/>
      <w:r w:rsidRPr="00E07D80">
        <w:rPr>
          <w:rFonts w:ascii="Times New Roman" w:hAnsi="Times New Roman" w:cs="Times New Roman"/>
          <w:sz w:val="20"/>
          <w:szCs w:val="20"/>
          <w:lang w:val="en-GB"/>
        </w:rPr>
        <w:t>hemorrhagic</w:t>
      </w:r>
      <w:proofErr w:type="spellEnd"/>
      <w:r w:rsidRPr="00E07D80">
        <w:rPr>
          <w:rFonts w:ascii="Times New Roman" w:hAnsi="Times New Roman" w:cs="Times New Roman"/>
          <w:sz w:val="20"/>
          <w:szCs w:val="20"/>
          <w:lang w:val="en-GB"/>
        </w:rPr>
        <w:t xml:space="preserve"> conversion of a primary ischemic infarction will be recorded</w:t>
      </w:r>
    </w:p>
    <w:p w:rsidR="000F43C6" w:rsidRPr="00E07D80" w:rsidRDefault="000F43C6" w:rsidP="000F43C6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07D80">
        <w:rPr>
          <w:rFonts w:ascii="Times New Roman" w:hAnsi="Times New Roman" w:cs="Times New Roman"/>
          <w:i/>
          <w:sz w:val="20"/>
          <w:szCs w:val="20"/>
          <w:lang w:val="en-GB"/>
        </w:rPr>
        <w:t xml:space="preserve">uncertain </w:t>
      </w:r>
      <w:r w:rsidRPr="00E07D80">
        <w:rPr>
          <w:rFonts w:ascii="Times New Roman" w:hAnsi="Times New Roman" w:cs="Times New Roman"/>
          <w:sz w:val="20"/>
          <w:szCs w:val="20"/>
          <w:lang w:val="en-GB"/>
        </w:rPr>
        <w:t>– no imaging or autopsy data available. Death within 30 days of stroke onset will be considered a fatal stroke.</w:t>
      </w:r>
    </w:p>
    <w:p w:rsidR="000F43C6" w:rsidRPr="00E07D80" w:rsidRDefault="000F43C6" w:rsidP="000F43C6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0F43C6" w:rsidRPr="00E07D80" w:rsidRDefault="000F43C6" w:rsidP="000F43C6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0F43C6" w:rsidRPr="00E07D80" w:rsidRDefault="000F43C6" w:rsidP="000F43C6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0F43C6" w:rsidRPr="00E07D80" w:rsidRDefault="000F43C6" w:rsidP="000F43C6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E07D80">
        <w:rPr>
          <w:rFonts w:ascii="Times New Roman" w:hAnsi="Times New Roman" w:cs="Times New Roman"/>
          <w:b/>
          <w:sz w:val="20"/>
          <w:szCs w:val="20"/>
          <w:lang w:val="en-GB"/>
        </w:rPr>
        <w:t>3) Transient ischemic attack (TIA)</w:t>
      </w:r>
    </w:p>
    <w:p w:rsidR="000F43C6" w:rsidRPr="00E07D80" w:rsidRDefault="000F43C6" w:rsidP="000F43C6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0F43C6" w:rsidRPr="00E07D80" w:rsidRDefault="000F43C6" w:rsidP="000F43C6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07D80">
        <w:rPr>
          <w:rFonts w:ascii="Times New Roman" w:hAnsi="Times New Roman" w:cs="Times New Roman"/>
          <w:sz w:val="20"/>
          <w:szCs w:val="20"/>
          <w:lang w:val="en-GB"/>
        </w:rPr>
        <w:t xml:space="preserve">An event matching the definition for stroke but lasting less than 24 hours will be considered a transient ischemic attack (TIA). The duration of symptoms for a TIA will be recorded, as will the results of any imaging procedures. However, TIA events with neuroimaging documentation of a cerebral infarction in the appropriate location for the clinical syndrome will be recorded as an ischemic stroke. </w:t>
      </w:r>
    </w:p>
    <w:p w:rsidR="000F43C6" w:rsidRPr="00E07D80" w:rsidRDefault="000F43C6" w:rsidP="000F43C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0F43C6" w:rsidRPr="00E07D80" w:rsidRDefault="000F43C6" w:rsidP="000F43C6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E07D80">
        <w:rPr>
          <w:rFonts w:ascii="Times New Roman" w:hAnsi="Times New Roman" w:cs="Times New Roman"/>
          <w:b/>
          <w:sz w:val="20"/>
          <w:szCs w:val="20"/>
          <w:lang w:val="en-GB"/>
        </w:rPr>
        <w:t xml:space="preserve">4) Non-central nervous system systemic </w:t>
      </w:r>
      <w:proofErr w:type="gramStart"/>
      <w:r w:rsidRPr="00E07D80">
        <w:rPr>
          <w:rFonts w:ascii="Times New Roman" w:hAnsi="Times New Roman" w:cs="Times New Roman"/>
          <w:b/>
          <w:sz w:val="20"/>
          <w:szCs w:val="20"/>
          <w:lang w:val="en-GB"/>
        </w:rPr>
        <w:t>embolism  (</w:t>
      </w:r>
      <w:proofErr w:type="gramEnd"/>
      <w:r w:rsidRPr="00E07D80">
        <w:rPr>
          <w:rFonts w:ascii="Times New Roman" w:hAnsi="Times New Roman" w:cs="Times New Roman"/>
          <w:b/>
          <w:sz w:val="20"/>
          <w:szCs w:val="20"/>
          <w:lang w:val="en-GB"/>
        </w:rPr>
        <w:t>SE)</w:t>
      </w:r>
    </w:p>
    <w:p w:rsidR="000F43C6" w:rsidRPr="00E07D80" w:rsidRDefault="000F43C6" w:rsidP="000F43C6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0F43C6" w:rsidRDefault="000F43C6" w:rsidP="000F43C6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07D80">
        <w:rPr>
          <w:rFonts w:ascii="Times New Roman" w:hAnsi="Times New Roman" w:cs="Times New Roman"/>
          <w:sz w:val="20"/>
          <w:szCs w:val="20"/>
          <w:lang w:val="en-GB"/>
        </w:rPr>
        <w:t>Non-central nervous system systemic embolism is defined as abrupt vascular insufficiency associated with clinical or radiologic evidence of arterial occlusion in the absence of other likely mechanisms (</w:t>
      </w:r>
      <w:proofErr w:type="spellStart"/>
      <w:r w:rsidRPr="00E07D80">
        <w:rPr>
          <w:rFonts w:ascii="Times New Roman" w:hAnsi="Times New Roman" w:cs="Times New Roman"/>
          <w:sz w:val="20"/>
          <w:szCs w:val="20"/>
          <w:lang w:val="en-GB"/>
        </w:rPr>
        <w:t>eg</w:t>
      </w:r>
      <w:proofErr w:type="spellEnd"/>
      <w:r w:rsidRPr="00E07D80">
        <w:rPr>
          <w:rFonts w:ascii="Times New Roman" w:hAnsi="Times New Roman" w:cs="Times New Roman"/>
          <w:sz w:val="20"/>
          <w:szCs w:val="20"/>
          <w:lang w:val="en-GB"/>
        </w:rPr>
        <w:t>, trauma, atherosclerosis, instrumentation). In the presence of atherosclerotic peripheral vascular disease, diagnosis of embolism to the lower extremities requires angiographic demonstration of abrupt arterial occlusion.</w:t>
      </w:r>
    </w:p>
    <w:p w:rsidR="000F43C6" w:rsidRDefault="000F43C6" w:rsidP="000F43C6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0F43C6" w:rsidRPr="00E07D80" w:rsidRDefault="000F43C6" w:rsidP="000F43C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  <w:lang w:val="en-GB"/>
        </w:rPr>
      </w:pPr>
      <w:r w:rsidRPr="00E07D80">
        <w:rPr>
          <w:rFonts w:ascii="Times New Roman" w:hAnsi="Times New Roman" w:cs="Times New Roman"/>
          <w:sz w:val="20"/>
          <w:szCs w:val="20"/>
          <w:u w:val="single"/>
          <w:lang w:val="en-GB"/>
        </w:rPr>
        <w:t>2 – Events on-treatment analysis</w:t>
      </w:r>
    </w:p>
    <w:p w:rsidR="000F43C6" w:rsidRDefault="000F43C6" w:rsidP="000F43C6">
      <w:pPr>
        <w:rPr>
          <w:rFonts w:cs="Arial"/>
          <w:lang w:val="en-GB"/>
        </w:rPr>
      </w:pPr>
    </w:p>
    <w:tbl>
      <w:tblPr>
        <w:tblStyle w:val="Lichtelijst-accent1"/>
        <w:tblW w:w="4340" w:type="dxa"/>
        <w:tblLook w:val="0680" w:firstRow="0" w:lastRow="0" w:firstColumn="1" w:lastColumn="0" w:noHBand="1" w:noVBand="1"/>
      </w:tblPr>
      <w:tblGrid>
        <w:gridCol w:w="3040"/>
        <w:gridCol w:w="1300"/>
      </w:tblGrid>
      <w:tr w:rsidR="000F43C6" w:rsidRPr="00840D53" w:rsidTr="00810D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shd w:val="clear" w:color="auto" w:fill="DBE5F1" w:themeFill="accent1" w:themeFillTint="33"/>
            <w:noWrap/>
            <w:hideMark/>
          </w:tcPr>
          <w:p w:rsidR="000F43C6" w:rsidRPr="00840D53" w:rsidRDefault="000F43C6" w:rsidP="00810D7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40D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CVA, n (%)</w:t>
            </w:r>
          </w:p>
        </w:tc>
        <w:tc>
          <w:tcPr>
            <w:tcW w:w="1300" w:type="dxa"/>
            <w:shd w:val="clear" w:color="auto" w:fill="DBE5F1" w:themeFill="accent1" w:themeFillTint="33"/>
            <w:noWrap/>
            <w:hideMark/>
          </w:tcPr>
          <w:p w:rsidR="000F43C6" w:rsidRPr="00840D53" w:rsidRDefault="000F43C6" w:rsidP="00810D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40D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 (1.9)</w:t>
            </w:r>
          </w:p>
        </w:tc>
      </w:tr>
      <w:tr w:rsidR="000F43C6" w:rsidRPr="00840D53" w:rsidTr="00810D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0F43C6" w:rsidRPr="00840D53" w:rsidRDefault="000F43C6" w:rsidP="00810D7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40D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TIA, n (%)</w:t>
            </w:r>
          </w:p>
        </w:tc>
        <w:tc>
          <w:tcPr>
            <w:tcW w:w="1300" w:type="dxa"/>
            <w:noWrap/>
            <w:hideMark/>
          </w:tcPr>
          <w:p w:rsidR="000F43C6" w:rsidRPr="00840D53" w:rsidRDefault="000F43C6" w:rsidP="00810D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40D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 (0.9)</w:t>
            </w:r>
          </w:p>
        </w:tc>
      </w:tr>
      <w:tr w:rsidR="000F43C6" w:rsidRPr="00840D53" w:rsidTr="00810D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shd w:val="clear" w:color="auto" w:fill="DBE5F1" w:themeFill="accent1" w:themeFillTint="33"/>
            <w:noWrap/>
            <w:hideMark/>
          </w:tcPr>
          <w:p w:rsidR="000F43C6" w:rsidRPr="00840D53" w:rsidRDefault="000F43C6" w:rsidP="00810D7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840D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Pulmonary</w:t>
            </w:r>
            <w:proofErr w:type="spellEnd"/>
            <w:r w:rsidRPr="00840D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840D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embolism</w:t>
            </w:r>
            <w:proofErr w:type="spellEnd"/>
            <w:r w:rsidRPr="00840D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n (%)</w:t>
            </w:r>
          </w:p>
        </w:tc>
        <w:tc>
          <w:tcPr>
            <w:tcW w:w="1300" w:type="dxa"/>
            <w:shd w:val="clear" w:color="auto" w:fill="DBE5F1" w:themeFill="accent1" w:themeFillTint="33"/>
            <w:noWrap/>
            <w:hideMark/>
          </w:tcPr>
          <w:p w:rsidR="000F43C6" w:rsidRPr="00840D53" w:rsidRDefault="000F43C6" w:rsidP="00810D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40D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 (0.1)</w:t>
            </w:r>
          </w:p>
        </w:tc>
      </w:tr>
      <w:tr w:rsidR="000F43C6" w:rsidRPr="00840D53" w:rsidTr="00810D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0F43C6" w:rsidRPr="00840D53" w:rsidRDefault="000F43C6" w:rsidP="00810D7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40D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DVT, n (%)</w:t>
            </w:r>
          </w:p>
        </w:tc>
        <w:tc>
          <w:tcPr>
            <w:tcW w:w="1300" w:type="dxa"/>
            <w:noWrap/>
            <w:hideMark/>
          </w:tcPr>
          <w:p w:rsidR="000F43C6" w:rsidRPr="00840D53" w:rsidRDefault="000F43C6" w:rsidP="00810D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40D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 (0.4)</w:t>
            </w:r>
          </w:p>
        </w:tc>
      </w:tr>
      <w:tr w:rsidR="000F43C6" w:rsidRPr="00840D53" w:rsidTr="00810D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shd w:val="clear" w:color="auto" w:fill="DBE5F1" w:themeFill="accent1" w:themeFillTint="33"/>
            <w:noWrap/>
            <w:hideMark/>
          </w:tcPr>
          <w:p w:rsidR="000F43C6" w:rsidRPr="00840D53" w:rsidRDefault="000F43C6" w:rsidP="00810D7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840D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Myocardial</w:t>
            </w:r>
            <w:proofErr w:type="spellEnd"/>
            <w:r w:rsidRPr="00840D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840D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infarction</w:t>
            </w:r>
            <w:proofErr w:type="spellEnd"/>
            <w:r w:rsidRPr="00840D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n (%)</w:t>
            </w:r>
          </w:p>
        </w:tc>
        <w:tc>
          <w:tcPr>
            <w:tcW w:w="1300" w:type="dxa"/>
            <w:shd w:val="clear" w:color="auto" w:fill="DBE5F1" w:themeFill="accent1" w:themeFillTint="33"/>
            <w:noWrap/>
            <w:hideMark/>
          </w:tcPr>
          <w:p w:rsidR="000F43C6" w:rsidRPr="00840D53" w:rsidRDefault="000F43C6" w:rsidP="00810D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40D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 (1.4)</w:t>
            </w:r>
          </w:p>
        </w:tc>
      </w:tr>
      <w:tr w:rsidR="000F43C6" w:rsidRPr="00840D53" w:rsidTr="00810D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0F43C6" w:rsidRPr="00840D53" w:rsidRDefault="000F43C6" w:rsidP="00810D7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840D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Bleeding</w:t>
            </w:r>
            <w:proofErr w:type="spellEnd"/>
            <w:r w:rsidRPr="00840D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n (%)</w:t>
            </w:r>
          </w:p>
        </w:tc>
        <w:tc>
          <w:tcPr>
            <w:tcW w:w="1300" w:type="dxa"/>
            <w:noWrap/>
            <w:hideMark/>
          </w:tcPr>
          <w:p w:rsidR="000F43C6" w:rsidRPr="00840D53" w:rsidRDefault="000F43C6" w:rsidP="00810D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40D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80 (10.0)</w:t>
            </w:r>
          </w:p>
        </w:tc>
      </w:tr>
      <w:tr w:rsidR="000F43C6" w:rsidRPr="00840D53" w:rsidTr="00810D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shd w:val="clear" w:color="auto" w:fill="DBE5F1" w:themeFill="accent1" w:themeFillTint="33"/>
            <w:noWrap/>
            <w:hideMark/>
          </w:tcPr>
          <w:p w:rsidR="000F43C6" w:rsidRPr="00840D53" w:rsidRDefault="000F43C6" w:rsidP="00810D7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840D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All-cause</w:t>
            </w:r>
            <w:proofErr w:type="spellEnd"/>
            <w:r w:rsidRPr="00840D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840D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mortality</w:t>
            </w:r>
            <w:proofErr w:type="spellEnd"/>
            <w:r w:rsidRPr="00840D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n (%)</w:t>
            </w:r>
          </w:p>
        </w:tc>
        <w:tc>
          <w:tcPr>
            <w:tcW w:w="1300" w:type="dxa"/>
            <w:shd w:val="clear" w:color="auto" w:fill="DBE5F1" w:themeFill="accent1" w:themeFillTint="33"/>
            <w:noWrap/>
            <w:hideMark/>
          </w:tcPr>
          <w:p w:rsidR="000F43C6" w:rsidRPr="00840D53" w:rsidRDefault="000F43C6" w:rsidP="00810D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40D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 (8.9)</w:t>
            </w:r>
          </w:p>
        </w:tc>
      </w:tr>
      <w:tr w:rsidR="000F43C6" w:rsidRPr="00840D53" w:rsidTr="00810D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shd w:val="clear" w:color="auto" w:fill="DBE5F1" w:themeFill="accent1" w:themeFillTint="33"/>
            <w:noWrap/>
            <w:hideMark/>
          </w:tcPr>
          <w:p w:rsidR="000F43C6" w:rsidRPr="00840D53" w:rsidRDefault="000F43C6" w:rsidP="00810D7A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nl-NL"/>
              </w:rPr>
              <w:t xml:space="preserve">  </w:t>
            </w:r>
            <w:proofErr w:type="spellStart"/>
            <w:r w:rsidRPr="00840D5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nl-NL"/>
              </w:rPr>
              <w:t>cardiovascular</w:t>
            </w:r>
            <w:proofErr w:type="spellEnd"/>
            <w:r w:rsidRPr="00840D5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840D5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nl-NL"/>
              </w:rPr>
              <w:t>death</w:t>
            </w:r>
            <w:proofErr w:type="spellEnd"/>
          </w:p>
        </w:tc>
        <w:tc>
          <w:tcPr>
            <w:tcW w:w="1300" w:type="dxa"/>
            <w:shd w:val="clear" w:color="auto" w:fill="DBE5F1" w:themeFill="accent1" w:themeFillTint="33"/>
            <w:noWrap/>
            <w:hideMark/>
          </w:tcPr>
          <w:p w:rsidR="000F43C6" w:rsidRPr="00840D53" w:rsidRDefault="000F43C6" w:rsidP="00810D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38</w:t>
            </w:r>
          </w:p>
        </w:tc>
      </w:tr>
      <w:tr w:rsidR="000F43C6" w:rsidRPr="00840D53" w:rsidTr="00810D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shd w:val="clear" w:color="auto" w:fill="DBE5F1" w:themeFill="accent1" w:themeFillTint="33"/>
            <w:noWrap/>
            <w:hideMark/>
          </w:tcPr>
          <w:p w:rsidR="000F43C6" w:rsidRPr="00840D53" w:rsidRDefault="000F43C6" w:rsidP="00810D7A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nl-NL"/>
              </w:rPr>
              <w:t xml:space="preserve">  </w:t>
            </w:r>
            <w:r w:rsidRPr="00840D53">
              <w:rPr>
                <w:rFonts w:ascii="Arial" w:eastAsia="Times New Roman" w:hAnsi="Arial" w:cs="Arial"/>
                <w:b w:val="0"/>
                <w:sz w:val="20"/>
                <w:szCs w:val="20"/>
                <w:lang w:eastAsia="nl-NL"/>
              </w:rPr>
              <w:t xml:space="preserve">non-CV </w:t>
            </w:r>
            <w:proofErr w:type="spellStart"/>
            <w:r w:rsidRPr="00840D53">
              <w:rPr>
                <w:rFonts w:ascii="Arial" w:eastAsia="Times New Roman" w:hAnsi="Arial" w:cs="Arial"/>
                <w:b w:val="0"/>
                <w:sz w:val="20"/>
                <w:szCs w:val="20"/>
                <w:lang w:eastAsia="nl-NL"/>
              </w:rPr>
              <w:t>death</w:t>
            </w:r>
            <w:proofErr w:type="spellEnd"/>
          </w:p>
        </w:tc>
        <w:tc>
          <w:tcPr>
            <w:tcW w:w="1300" w:type="dxa"/>
            <w:shd w:val="clear" w:color="auto" w:fill="DBE5F1" w:themeFill="accent1" w:themeFillTint="33"/>
            <w:noWrap/>
            <w:hideMark/>
          </w:tcPr>
          <w:p w:rsidR="000F43C6" w:rsidRPr="00840D53" w:rsidRDefault="000F43C6" w:rsidP="00810D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40D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33</w:t>
            </w:r>
          </w:p>
        </w:tc>
      </w:tr>
    </w:tbl>
    <w:p w:rsidR="000F43C6" w:rsidRDefault="000F43C6" w:rsidP="000F43C6">
      <w:pPr>
        <w:rPr>
          <w:rFonts w:cs="Arial"/>
          <w:lang w:val="en-GB"/>
        </w:rPr>
      </w:pPr>
    </w:p>
    <w:p w:rsidR="000F43C6" w:rsidRDefault="000F43C6" w:rsidP="000F43C6">
      <w:pPr>
        <w:rPr>
          <w:rFonts w:cs="Arial"/>
          <w:lang w:val="en-GB"/>
        </w:rPr>
      </w:pPr>
    </w:p>
    <w:p w:rsidR="000F43C6" w:rsidRPr="00E07D80" w:rsidRDefault="000F43C6" w:rsidP="000F43C6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  <w:lang w:val="en-GB"/>
        </w:rPr>
      </w:pPr>
      <w:r w:rsidRPr="00E07D80">
        <w:rPr>
          <w:rFonts w:ascii="Times New Roman" w:hAnsi="Times New Roman" w:cs="Times New Roman"/>
          <w:sz w:val="20"/>
          <w:szCs w:val="20"/>
          <w:u w:val="single"/>
          <w:lang w:val="en-GB"/>
        </w:rPr>
        <w:t>3 – Bleeding sites</w:t>
      </w:r>
    </w:p>
    <w:p w:rsidR="000F43C6" w:rsidRDefault="000F43C6" w:rsidP="000F43C6">
      <w:pPr>
        <w:rPr>
          <w:rFonts w:cs="Arial"/>
          <w:lang w:val="en-GB"/>
        </w:rPr>
      </w:pPr>
    </w:p>
    <w:tbl>
      <w:tblPr>
        <w:tblStyle w:val="Lichtelijst-accent1"/>
        <w:tblW w:w="2518" w:type="dxa"/>
        <w:tblLook w:val="0680" w:firstRow="0" w:lastRow="0" w:firstColumn="1" w:lastColumn="0" w:noHBand="1" w:noVBand="1"/>
      </w:tblPr>
      <w:tblGrid>
        <w:gridCol w:w="1809"/>
        <w:gridCol w:w="709"/>
      </w:tblGrid>
      <w:tr w:rsidR="000F43C6" w:rsidRPr="00C20A10" w:rsidTr="00810D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DBE5F1" w:themeFill="accent1" w:themeFillTint="33"/>
            <w:noWrap/>
            <w:hideMark/>
          </w:tcPr>
          <w:p w:rsidR="000F43C6" w:rsidRPr="00C20A10" w:rsidRDefault="000F43C6" w:rsidP="00810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20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Gastrointestinal</w:t>
            </w:r>
            <w:proofErr w:type="spellEnd"/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0F43C6" w:rsidRPr="00C20A10" w:rsidRDefault="000F43C6" w:rsidP="00810D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0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23</w:t>
            </w:r>
          </w:p>
        </w:tc>
      </w:tr>
      <w:tr w:rsidR="000F43C6" w:rsidRPr="00C20A10" w:rsidTr="00810D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0F43C6" w:rsidRPr="00C20A10" w:rsidRDefault="000F43C6" w:rsidP="00810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20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Intracranial</w:t>
            </w:r>
            <w:proofErr w:type="spellEnd"/>
          </w:p>
        </w:tc>
        <w:tc>
          <w:tcPr>
            <w:tcW w:w="709" w:type="dxa"/>
            <w:noWrap/>
            <w:hideMark/>
          </w:tcPr>
          <w:p w:rsidR="000F43C6" w:rsidRPr="00C20A10" w:rsidRDefault="000F43C6" w:rsidP="00810D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0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</w:tr>
      <w:tr w:rsidR="000F43C6" w:rsidRPr="00C20A10" w:rsidTr="00810D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DBE5F1" w:themeFill="accent1" w:themeFillTint="33"/>
            <w:noWrap/>
            <w:hideMark/>
          </w:tcPr>
          <w:p w:rsidR="000F43C6" w:rsidRPr="00C20A10" w:rsidRDefault="000F43C6" w:rsidP="00810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20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Genitourinary</w:t>
            </w:r>
            <w:proofErr w:type="spellEnd"/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0F43C6" w:rsidRPr="00C20A10" w:rsidRDefault="000F43C6" w:rsidP="00810D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0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29</w:t>
            </w:r>
          </w:p>
        </w:tc>
      </w:tr>
      <w:tr w:rsidR="000F43C6" w:rsidRPr="00C20A10" w:rsidTr="00810D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0F43C6" w:rsidRPr="00C20A10" w:rsidRDefault="000F43C6" w:rsidP="00810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20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Musculoskeletal</w:t>
            </w:r>
            <w:proofErr w:type="spellEnd"/>
          </w:p>
        </w:tc>
        <w:tc>
          <w:tcPr>
            <w:tcW w:w="709" w:type="dxa"/>
            <w:noWrap/>
            <w:hideMark/>
          </w:tcPr>
          <w:p w:rsidR="000F43C6" w:rsidRPr="00C20A10" w:rsidRDefault="000F43C6" w:rsidP="00810D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0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</w:tr>
      <w:tr w:rsidR="000F43C6" w:rsidRPr="00C20A10" w:rsidTr="00810D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DBE5F1" w:themeFill="accent1" w:themeFillTint="33"/>
            <w:noWrap/>
            <w:hideMark/>
          </w:tcPr>
          <w:p w:rsidR="000F43C6" w:rsidRPr="00C20A10" w:rsidRDefault="000F43C6" w:rsidP="00810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0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Skin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0F43C6" w:rsidRPr="00C20A10" w:rsidRDefault="000F43C6" w:rsidP="00810D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0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0F43C6" w:rsidRPr="00C20A10" w:rsidTr="00810D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0F43C6" w:rsidRPr="00C20A10" w:rsidRDefault="000F43C6" w:rsidP="00810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0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Epistaxis</w:t>
            </w:r>
          </w:p>
        </w:tc>
        <w:tc>
          <w:tcPr>
            <w:tcW w:w="709" w:type="dxa"/>
            <w:noWrap/>
            <w:hideMark/>
          </w:tcPr>
          <w:p w:rsidR="000F43C6" w:rsidRPr="00C20A10" w:rsidRDefault="000F43C6" w:rsidP="00810D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0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</w:t>
            </w:r>
          </w:p>
        </w:tc>
      </w:tr>
      <w:tr w:rsidR="000F43C6" w:rsidRPr="00C20A10" w:rsidTr="00810D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DBE5F1" w:themeFill="accent1" w:themeFillTint="33"/>
            <w:noWrap/>
            <w:hideMark/>
          </w:tcPr>
          <w:p w:rsidR="000F43C6" w:rsidRPr="00C20A10" w:rsidRDefault="000F43C6" w:rsidP="00810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20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Surgery</w:t>
            </w:r>
            <w:proofErr w:type="spellEnd"/>
            <w:r w:rsidRPr="00C20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site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0F43C6" w:rsidRPr="00C20A10" w:rsidRDefault="000F43C6" w:rsidP="00810D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0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</w:tr>
      <w:tr w:rsidR="000F43C6" w:rsidRPr="00C20A10" w:rsidTr="00810D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0F43C6" w:rsidRPr="00C20A10" w:rsidRDefault="000F43C6" w:rsidP="00810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20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Other</w:t>
            </w:r>
            <w:proofErr w:type="spellEnd"/>
          </w:p>
        </w:tc>
        <w:tc>
          <w:tcPr>
            <w:tcW w:w="709" w:type="dxa"/>
            <w:noWrap/>
            <w:hideMark/>
          </w:tcPr>
          <w:p w:rsidR="000F43C6" w:rsidRPr="00C20A10" w:rsidRDefault="000F43C6" w:rsidP="00810D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0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</w:tr>
      <w:tr w:rsidR="000F43C6" w:rsidRPr="00C20A10" w:rsidTr="00810D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DBE5F1" w:themeFill="accent1" w:themeFillTint="33"/>
            <w:noWrap/>
            <w:hideMark/>
          </w:tcPr>
          <w:p w:rsidR="000F43C6" w:rsidRPr="00C20A10" w:rsidRDefault="000F43C6" w:rsidP="00810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20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Not</w:t>
            </w:r>
            <w:proofErr w:type="spellEnd"/>
            <w:r w:rsidRPr="00C20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20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reported</w:t>
            </w:r>
            <w:proofErr w:type="spellEnd"/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0F43C6" w:rsidRPr="00C20A10" w:rsidRDefault="000F43C6" w:rsidP="00810D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0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</w:tr>
    </w:tbl>
    <w:p w:rsidR="000F43C6" w:rsidRDefault="000F43C6" w:rsidP="000F43C6">
      <w:pPr>
        <w:rPr>
          <w:rFonts w:cs="Arial"/>
          <w:lang w:val="en-GB"/>
        </w:rPr>
      </w:pPr>
    </w:p>
    <w:p w:rsidR="000F43C6" w:rsidRDefault="000F43C6" w:rsidP="000F43C6">
      <w:pPr>
        <w:rPr>
          <w:rFonts w:cs="Arial"/>
          <w:lang w:val="en-GB"/>
        </w:rPr>
      </w:pPr>
    </w:p>
    <w:p w:rsidR="000F43C6" w:rsidRDefault="000F43C6" w:rsidP="000F43C6">
      <w:pPr>
        <w:rPr>
          <w:rFonts w:cs="Arial"/>
          <w:lang w:val="en-GB"/>
        </w:rPr>
      </w:pPr>
    </w:p>
    <w:p w:rsidR="000F43C6" w:rsidRDefault="000F43C6" w:rsidP="000F43C6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  <w:lang w:val="en-GB"/>
        </w:rPr>
      </w:pPr>
    </w:p>
    <w:p w:rsidR="000F43C6" w:rsidRPr="005A62D7" w:rsidRDefault="000F43C6" w:rsidP="000F43C6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  <w:lang w:val="en-GB"/>
        </w:rPr>
      </w:pPr>
      <w:r w:rsidRPr="005A62D7">
        <w:rPr>
          <w:rFonts w:ascii="Times New Roman" w:hAnsi="Times New Roman" w:cs="Times New Roman"/>
          <w:sz w:val="20"/>
          <w:szCs w:val="20"/>
          <w:u w:val="single"/>
          <w:lang w:val="en-GB"/>
        </w:rPr>
        <w:lastRenderedPageBreak/>
        <w:t>4 – Baseline characteristics according to dose groups</w:t>
      </w:r>
    </w:p>
    <w:p w:rsidR="000F43C6" w:rsidRPr="00090D37" w:rsidRDefault="000F43C6" w:rsidP="000F43C6">
      <w:pPr>
        <w:spacing w:line="276" w:lineRule="auto"/>
        <w:rPr>
          <w:szCs w:val="22"/>
          <w:u w:val="single"/>
          <w:lang w:val="en-GB"/>
        </w:rPr>
      </w:pPr>
    </w:p>
    <w:tbl>
      <w:tblPr>
        <w:tblStyle w:val="Lichtelijst-accent1"/>
        <w:tblW w:w="9606" w:type="dxa"/>
        <w:tblLook w:val="06A0" w:firstRow="1" w:lastRow="0" w:firstColumn="1" w:lastColumn="0" w:noHBand="1" w:noVBand="1"/>
      </w:tblPr>
      <w:tblGrid>
        <w:gridCol w:w="3794"/>
        <w:gridCol w:w="850"/>
        <w:gridCol w:w="1418"/>
        <w:gridCol w:w="1276"/>
        <w:gridCol w:w="1275"/>
        <w:gridCol w:w="993"/>
      </w:tblGrid>
      <w:tr w:rsidR="000F43C6" w:rsidRPr="00B469D7" w:rsidTr="00810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DBE5F1" w:themeFill="accent1" w:themeFillTint="33"/>
            <w:noWrap/>
            <w:vAlign w:val="center"/>
          </w:tcPr>
          <w:p w:rsidR="000F43C6" w:rsidRPr="00004149" w:rsidRDefault="000F43C6" w:rsidP="00810D7A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 w:rsidR="000F43C6" w:rsidRPr="00004149" w:rsidRDefault="000F43C6" w:rsidP="00810D7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noWrap/>
            <w:vAlign w:val="center"/>
          </w:tcPr>
          <w:p w:rsidR="000F43C6" w:rsidRPr="00B469D7" w:rsidRDefault="000F43C6" w:rsidP="00810D7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Total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F43C6" w:rsidRPr="00B469D7" w:rsidRDefault="000F43C6" w:rsidP="00810D7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normal</w:t>
            </w:r>
            <w:proofErr w:type="spellEnd"/>
            <w:proofErr w:type="gramEnd"/>
            <w:r w:rsidR="00BB7F62" w:rsidRPr="00BB7F62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nl-NL"/>
              </w:rPr>
              <w:t>‡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0F43C6" w:rsidRPr="00B469D7" w:rsidRDefault="000F43C6" w:rsidP="00810D7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reduced</w:t>
            </w:r>
            <w:proofErr w:type="spellEnd"/>
            <w:proofErr w:type="gramEnd"/>
            <w:r w:rsidR="00BB7F62" w:rsidRPr="00BB7F6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NL"/>
              </w:rPr>
              <w:t>¶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0F43C6" w:rsidRPr="00B469D7" w:rsidRDefault="000F43C6" w:rsidP="00810D7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value</w:t>
            </w:r>
            <w:proofErr w:type="spellEnd"/>
          </w:p>
        </w:tc>
      </w:tr>
      <w:tr w:rsidR="00AA06A5" w:rsidRPr="00B469D7" w:rsidTr="00DB328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auto"/>
            <w:noWrap/>
            <w:vAlign w:val="center"/>
          </w:tcPr>
          <w:p w:rsidR="00AA06A5" w:rsidRPr="00B469D7" w:rsidRDefault="00DB328C" w:rsidP="00810D7A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Number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patients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06A5" w:rsidRPr="00B469D7" w:rsidRDefault="00AA06A5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A06A5" w:rsidRPr="00B469D7" w:rsidRDefault="00AA06A5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06A5" w:rsidRDefault="00AA06A5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690 (86</w:t>
            </w:r>
            <w:r w:rsidR="00DB3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.4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6A5" w:rsidRDefault="00AA06A5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109 (14</w:t>
            </w:r>
            <w:r w:rsidR="00DB3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.6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06A5" w:rsidRDefault="00AA06A5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F43C6" w:rsidRPr="00B469D7" w:rsidTr="00810D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DBE5F1" w:themeFill="accent1" w:themeFillTint="33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Male gender, </w:t>
            </w:r>
            <w:r w:rsidRPr="00B469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n (%)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489 (61.2)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426</w:t>
            </w:r>
            <w:r w:rsidR="00DB3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(61.7)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63</w:t>
            </w:r>
            <w:r w:rsidR="00DB3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(57.8)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0.43</w:t>
            </w:r>
            <w:r w:rsidR="00255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</w:tr>
      <w:tr w:rsidR="000F43C6" w:rsidRPr="00B469D7" w:rsidTr="00810D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Age, </w:t>
            </w:r>
            <w:proofErr w:type="spellStart"/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mean</w:t>
            </w:r>
            <w:proofErr w:type="spellEnd"/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± SD</w:t>
            </w:r>
          </w:p>
        </w:tc>
        <w:tc>
          <w:tcPr>
            <w:tcW w:w="850" w:type="dxa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69.8 ± 11.0</w:t>
            </w:r>
          </w:p>
        </w:tc>
        <w:tc>
          <w:tcPr>
            <w:tcW w:w="1276" w:type="dxa"/>
            <w:vAlign w:val="center"/>
          </w:tcPr>
          <w:p w:rsidR="000F43C6" w:rsidRPr="00B2545B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68.7</w:t>
            </w:r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±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10.4</w:t>
            </w:r>
          </w:p>
        </w:tc>
        <w:tc>
          <w:tcPr>
            <w:tcW w:w="1275" w:type="dxa"/>
            <w:vAlign w:val="center"/>
          </w:tcPr>
          <w:p w:rsidR="000F43C6" w:rsidRPr="00B2545B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77.0</w:t>
            </w:r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± 11.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993" w:type="dxa"/>
            <w:vAlign w:val="center"/>
          </w:tcPr>
          <w:p w:rsidR="000F43C6" w:rsidRPr="00B2545B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&lt;0.001</w:t>
            </w:r>
          </w:p>
        </w:tc>
      </w:tr>
      <w:tr w:rsidR="000F43C6" w:rsidRPr="00B469D7" w:rsidTr="00810D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Age </w:t>
            </w:r>
            <w:proofErr w:type="spellStart"/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groups</w:t>
            </w:r>
            <w:proofErr w:type="spellEnd"/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, n (%)</w:t>
            </w:r>
          </w:p>
        </w:tc>
        <w:tc>
          <w:tcPr>
            <w:tcW w:w="850" w:type="dxa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vAlign w:val="center"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vAlign w:val="center"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vAlign w:val="center"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&lt;0.001</w:t>
            </w:r>
          </w:p>
        </w:tc>
      </w:tr>
      <w:tr w:rsidR="000F43C6" w:rsidRPr="00B469D7" w:rsidTr="00810D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&lt;65</w:t>
            </w:r>
          </w:p>
        </w:tc>
        <w:tc>
          <w:tcPr>
            <w:tcW w:w="1418" w:type="dxa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228 (28.5)</w:t>
            </w:r>
          </w:p>
        </w:tc>
        <w:tc>
          <w:tcPr>
            <w:tcW w:w="1276" w:type="dxa"/>
            <w:vAlign w:val="center"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214</w:t>
            </w:r>
            <w:r w:rsidR="00DB3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(31.0)</w:t>
            </w:r>
          </w:p>
        </w:tc>
        <w:tc>
          <w:tcPr>
            <w:tcW w:w="1275" w:type="dxa"/>
            <w:vAlign w:val="center"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14</w:t>
            </w:r>
            <w:r w:rsidR="00DB3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(12.8)</w:t>
            </w:r>
          </w:p>
        </w:tc>
        <w:tc>
          <w:tcPr>
            <w:tcW w:w="993" w:type="dxa"/>
            <w:vAlign w:val="center"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F43C6" w:rsidRPr="00B469D7" w:rsidTr="00810D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65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</w:t>
            </w:r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74</w:t>
            </w:r>
          </w:p>
        </w:tc>
        <w:tc>
          <w:tcPr>
            <w:tcW w:w="1418" w:type="dxa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303 (37.9)</w:t>
            </w:r>
          </w:p>
        </w:tc>
        <w:tc>
          <w:tcPr>
            <w:tcW w:w="1276" w:type="dxa"/>
            <w:vAlign w:val="center"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278</w:t>
            </w:r>
            <w:r w:rsidR="00DB3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(40.3)</w:t>
            </w:r>
          </w:p>
        </w:tc>
        <w:tc>
          <w:tcPr>
            <w:tcW w:w="1275" w:type="dxa"/>
            <w:vAlign w:val="center"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25</w:t>
            </w:r>
            <w:r w:rsidR="00DB3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(22.9)</w:t>
            </w:r>
          </w:p>
        </w:tc>
        <w:tc>
          <w:tcPr>
            <w:tcW w:w="993" w:type="dxa"/>
            <w:vAlign w:val="center"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F43C6" w:rsidRPr="00B469D7" w:rsidTr="00810D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≥ 75 </w:t>
            </w:r>
          </w:p>
        </w:tc>
        <w:tc>
          <w:tcPr>
            <w:tcW w:w="1418" w:type="dxa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268 (33.5)</w:t>
            </w:r>
          </w:p>
        </w:tc>
        <w:tc>
          <w:tcPr>
            <w:tcW w:w="1276" w:type="dxa"/>
            <w:vAlign w:val="center"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198</w:t>
            </w:r>
            <w:r w:rsidR="00DB3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(28.7)</w:t>
            </w:r>
          </w:p>
        </w:tc>
        <w:tc>
          <w:tcPr>
            <w:tcW w:w="1275" w:type="dxa"/>
            <w:vAlign w:val="center"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70</w:t>
            </w:r>
            <w:r w:rsidR="00DB3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(64.2)</w:t>
            </w:r>
          </w:p>
        </w:tc>
        <w:tc>
          <w:tcPr>
            <w:tcW w:w="993" w:type="dxa"/>
            <w:vAlign w:val="center"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F43C6" w:rsidRPr="00E92032" w:rsidTr="00810D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DBE5F1" w:themeFill="accent1" w:themeFillTint="33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BMI (kg/m2), mean ± SD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27.4 ± 5.0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</w:t>
            </w:r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± 5.0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0F43C6" w:rsidRPr="00E92032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E9203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26.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9</w:t>
            </w:r>
            <w:r w:rsidRPr="00E9203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 xml:space="preserve"> ± 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1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0F43C6" w:rsidRPr="00E92032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0.29</w:t>
            </w:r>
          </w:p>
        </w:tc>
      </w:tr>
      <w:tr w:rsidR="000F43C6" w:rsidRPr="00E92032" w:rsidTr="00810D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proofErr w:type="spellStart"/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CrCl</w:t>
            </w:r>
            <w:proofErr w:type="spellEnd"/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 xml:space="preserve"> (ml/min), mean ± SD</w:t>
            </w:r>
          </w:p>
        </w:tc>
        <w:tc>
          <w:tcPr>
            <w:tcW w:w="850" w:type="dxa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0F43C6" w:rsidRPr="00E92032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E9203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65.3 ± 13.7</w:t>
            </w:r>
          </w:p>
        </w:tc>
        <w:tc>
          <w:tcPr>
            <w:tcW w:w="1276" w:type="dxa"/>
            <w:vAlign w:val="center"/>
          </w:tcPr>
          <w:p w:rsidR="000F43C6" w:rsidRPr="00E92032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67.1 ± 12.3</w:t>
            </w:r>
          </w:p>
        </w:tc>
        <w:tc>
          <w:tcPr>
            <w:tcW w:w="1275" w:type="dxa"/>
            <w:vAlign w:val="center"/>
          </w:tcPr>
          <w:p w:rsidR="000F43C6" w:rsidRPr="00E92032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53.8</w:t>
            </w:r>
            <w:r w:rsidRPr="00E9203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 xml:space="preserve"> ±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16.1</w:t>
            </w:r>
          </w:p>
        </w:tc>
        <w:tc>
          <w:tcPr>
            <w:tcW w:w="993" w:type="dxa"/>
            <w:vAlign w:val="center"/>
          </w:tcPr>
          <w:p w:rsidR="000F43C6" w:rsidRPr="00E92032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&lt;0.001</w:t>
            </w:r>
          </w:p>
        </w:tc>
      </w:tr>
      <w:tr w:rsidR="000F43C6" w:rsidRPr="00B469D7" w:rsidTr="00810D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bookmarkStart w:id="0" w:name="_GoBack"/>
            <w:bookmarkEnd w:id="0"/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Prior </w:t>
            </w:r>
            <w:proofErr w:type="spellStart"/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stroke</w:t>
            </w:r>
            <w:proofErr w:type="spellEnd"/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/TIA, n (%)</w:t>
            </w:r>
          </w:p>
        </w:tc>
        <w:tc>
          <w:tcPr>
            <w:tcW w:w="850" w:type="dxa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113 (14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.</w:t>
            </w:r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1)</w:t>
            </w:r>
          </w:p>
        </w:tc>
        <w:tc>
          <w:tcPr>
            <w:tcW w:w="1276" w:type="dxa"/>
            <w:vAlign w:val="center"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88</w:t>
            </w:r>
            <w:r w:rsidR="00DB3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(12.8)</w:t>
            </w:r>
          </w:p>
        </w:tc>
        <w:tc>
          <w:tcPr>
            <w:tcW w:w="1275" w:type="dxa"/>
            <w:vAlign w:val="center"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25</w:t>
            </w:r>
            <w:r w:rsidR="00FC0F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(22.9)</w:t>
            </w:r>
          </w:p>
        </w:tc>
        <w:tc>
          <w:tcPr>
            <w:tcW w:w="993" w:type="dxa"/>
            <w:vAlign w:val="center"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0.005</w:t>
            </w:r>
          </w:p>
        </w:tc>
      </w:tr>
      <w:tr w:rsidR="000F43C6" w:rsidRPr="00B469D7" w:rsidTr="00810D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DBE5F1" w:themeFill="accent1" w:themeFillTint="33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Prior PE/DVT, n (%)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30 (3.8</w:t>
            </w:r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F43C6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21</w:t>
            </w:r>
            <w:r w:rsidR="00DB3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(3.0)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0F43C6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9</w:t>
            </w:r>
            <w:r w:rsidR="008A5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(8.3)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0F43C6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</w:t>
            </w:r>
            <w:r w:rsidR="008A5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08</w:t>
            </w:r>
          </w:p>
        </w:tc>
      </w:tr>
      <w:tr w:rsidR="000F43C6" w:rsidRPr="00B469D7" w:rsidTr="00810D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Myocardial</w:t>
            </w:r>
            <w:proofErr w:type="spellEnd"/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infarction</w:t>
            </w:r>
            <w:proofErr w:type="spellEnd"/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, n (%)</w:t>
            </w:r>
          </w:p>
        </w:tc>
        <w:tc>
          <w:tcPr>
            <w:tcW w:w="850" w:type="dxa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102 (12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.</w:t>
            </w:r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8)</w:t>
            </w:r>
          </w:p>
        </w:tc>
        <w:tc>
          <w:tcPr>
            <w:tcW w:w="1276" w:type="dxa"/>
            <w:vAlign w:val="center"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80</w:t>
            </w:r>
            <w:r w:rsidR="00DB3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(11.6)</w:t>
            </w:r>
          </w:p>
        </w:tc>
        <w:tc>
          <w:tcPr>
            <w:tcW w:w="1275" w:type="dxa"/>
            <w:vAlign w:val="center"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22</w:t>
            </w:r>
            <w:r w:rsidR="00711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(20.2)</w:t>
            </w:r>
          </w:p>
        </w:tc>
        <w:tc>
          <w:tcPr>
            <w:tcW w:w="993" w:type="dxa"/>
            <w:vAlign w:val="center"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0.01</w:t>
            </w:r>
            <w:r w:rsidR="00FA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</w:tr>
      <w:tr w:rsidR="000F43C6" w:rsidRPr="00B469D7" w:rsidTr="00810D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DBE5F1" w:themeFill="accent1" w:themeFillTint="33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Coronary</w:t>
            </w:r>
            <w:proofErr w:type="spellEnd"/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artery</w:t>
            </w:r>
            <w:proofErr w:type="spellEnd"/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disease</w:t>
            </w:r>
            <w:proofErr w:type="spellEnd"/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, n (%)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170 (21.</w:t>
            </w:r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F43C6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136</w:t>
            </w:r>
            <w:r w:rsidR="00DB3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(19.7) 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0F43C6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34</w:t>
            </w:r>
            <w:r w:rsidR="00711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(31.2)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0F43C6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0.006</w:t>
            </w:r>
          </w:p>
        </w:tc>
      </w:tr>
      <w:tr w:rsidR="000F43C6" w:rsidRPr="00B469D7" w:rsidTr="00810D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Peripheral</w:t>
            </w:r>
            <w:proofErr w:type="spellEnd"/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artery</w:t>
            </w:r>
            <w:proofErr w:type="spellEnd"/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disease</w:t>
            </w:r>
            <w:proofErr w:type="spellEnd"/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, n (%)</w:t>
            </w:r>
          </w:p>
        </w:tc>
        <w:tc>
          <w:tcPr>
            <w:tcW w:w="850" w:type="dxa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44 (5.</w:t>
            </w:r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5)</w:t>
            </w:r>
          </w:p>
        </w:tc>
        <w:tc>
          <w:tcPr>
            <w:tcW w:w="1276" w:type="dxa"/>
            <w:vAlign w:val="center"/>
          </w:tcPr>
          <w:p w:rsidR="000F43C6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34</w:t>
            </w:r>
            <w:r w:rsidR="00DB3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(4.9)</w:t>
            </w:r>
          </w:p>
        </w:tc>
        <w:tc>
          <w:tcPr>
            <w:tcW w:w="1275" w:type="dxa"/>
            <w:vAlign w:val="center"/>
          </w:tcPr>
          <w:p w:rsidR="000F43C6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</w:t>
            </w:r>
            <w:r w:rsidR="00FC0F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(9.2)</w:t>
            </w:r>
          </w:p>
        </w:tc>
        <w:tc>
          <w:tcPr>
            <w:tcW w:w="993" w:type="dxa"/>
            <w:vAlign w:val="center"/>
          </w:tcPr>
          <w:p w:rsidR="000F43C6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0.07</w:t>
            </w:r>
            <w:r w:rsidR="00BE6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0F43C6" w:rsidRPr="00B469D7" w:rsidTr="00810D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DBE5F1" w:themeFill="accent1" w:themeFillTint="33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Congestive</w:t>
            </w:r>
            <w:proofErr w:type="spellEnd"/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heart</w:t>
            </w:r>
            <w:proofErr w:type="spellEnd"/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failure, n (%)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108 (13.</w:t>
            </w:r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F43C6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82</w:t>
            </w:r>
            <w:r w:rsidR="00DB3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(11.9)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0F43C6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26</w:t>
            </w:r>
            <w:r w:rsidR="00FC0F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(23.9)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0F43C6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0.001</w:t>
            </w:r>
          </w:p>
        </w:tc>
      </w:tr>
      <w:tr w:rsidR="000F43C6" w:rsidRPr="00B469D7" w:rsidTr="00810D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DBE5F1" w:themeFill="accent1" w:themeFillTint="33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Hypertension</w:t>
            </w:r>
            <w:proofErr w:type="spellEnd"/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, n (%)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455 (56.</w:t>
            </w:r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9)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F43C6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385</w:t>
            </w:r>
            <w:r w:rsidR="00DB3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(55.8)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0F43C6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70</w:t>
            </w:r>
            <w:r w:rsidR="00255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(64.2)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0F43C6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</w:t>
            </w:r>
            <w:r w:rsidR="00F00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099</w:t>
            </w:r>
          </w:p>
        </w:tc>
      </w:tr>
      <w:tr w:rsidR="000F43C6" w:rsidRPr="00B469D7" w:rsidTr="00810D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Diabetes mellitus, n (%)</w:t>
            </w:r>
          </w:p>
        </w:tc>
        <w:tc>
          <w:tcPr>
            <w:tcW w:w="850" w:type="dxa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123 (15.</w:t>
            </w:r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4)</w:t>
            </w:r>
          </w:p>
        </w:tc>
        <w:tc>
          <w:tcPr>
            <w:tcW w:w="1276" w:type="dxa"/>
            <w:vAlign w:val="center"/>
          </w:tcPr>
          <w:p w:rsidR="000F43C6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100</w:t>
            </w:r>
            <w:r w:rsidR="00DB3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(14.5)</w:t>
            </w:r>
          </w:p>
        </w:tc>
        <w:tc>
          <w:tcPr>
            <w:tcW w:w="1275" w:type="dxa"/>
            <w:vAlign w:val="center"/>
          </w:tcPr>
          <w:p w:rsidR="000F43C6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23</w:t>
            </w:r>
            <w:r w:rsidR="00711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(21.1)</w:t>
            </w:r>
          </w:p>
        </w:tc>
        <w:tc>
          <w:tcPr>
            <w:tcW w:w="993" w:type="dxa"/>
            <w:vAlign w:val="center"/>
          </w:tcPr>
          <w:p w:rsidR="000F43C6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0.076</w:t>
            </w:r>
          </w:p>
        </w:tc>
      </w:tr>
      <w:tr w:rsidR="000F43C6" w:rsidRPr="00B469D7" w:rsidTr="00810D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DBE5F1" w:themeFill="accent1" w:themeFillTint="33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Current</w:t>
            </w:r>
            <w:proofErr w:type="spellEnd"/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smoking, n (%)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*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89 (11.1) 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F43C6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77</w:t>
            </w:r>
            <w:r w:rsidR="00DB3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(11.2)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0F43C6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12</w:t>
            </w:r>
            <w:r w:rsidR="008A5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(11.0)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0F43C6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0.93</w:t>
            </w:r>
            <w:r w:rsidR="00C965B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</w:tr>
      <w:tr w:rsidR="000F43C6" w:rsidRPr="00B469D7" w:rsidTr="00810D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Alcohol </w:t>
            </w:r>
            <w:proofErr w:type="spellStart"/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abuse</w:t>
            </w:r>
            <w:proofErr w:type="spellEnd"/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, n (%)</w:t>
            </w:r>
          </w:p>
        </w:tc>
        <w:tc>
          <w:tcPr>
            <w:tcW w:w="850" w:type="dxa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127 (15.9)</w:t>
            </w:r>
          </w:p>
        </w:tc>
        <w:tc>
          <w:tcPr>
            <w:tcW w:w="1276" w:type="dxa"/>
            <w:vAlign w:val="center"/>
          </w:tcPr>
          <w:p w:rsidR="000F43C6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110</w:t>
            </w:r>
            <w:r w:rsidR="00DB3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(15.9)</w:t>
            </w:r>
          </w:p>
        </w:tc>
        <w:tc>
          <w:tcPr>
            <w:tcW w:w="1275" w:type="dxa"/>
            <w:vAlign w:val="center"/>
          </w:tcPr>
          <w:p w:rsidR="000F43C6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17</w:t>
            </w:r>
            <w:r w:rsidR="008A5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(15.6)</w:t>
            </w:r>
          </w:p>
        </w:tc>
        <w:tc>
          <w:tcPr>
            <w:tcW w:w="993" w:type="dxa"/>
            <w:vAlign w:val="center"/>
          </w:tcPr>
          <w:p w:rsidR="000F43C6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0.93</w:t>
            </w:r>
            <w:r w:rsidR="00C965B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</w:tr>
      <w:tr w:rsidR="000F43C6" w:rsidRPr="00B469D7" w:rsidTr="00810D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DBE5F1" w:themeFill="accent1" w:themeFillTint="33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Prior major </w:t>
            </w:r>
            <w:proofErr w:type="spellStart"/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bleeding</w:t>
            </w:r>
            <w:proofErr w:type="spellEnd"/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, n (%)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23 (2.</w:t>
            </w:r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9)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F43C6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17</w:t>
            </w:r>
            <w:r w:rsidR="00DB3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(2.5)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0F43C6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</w:t>
            </w:r>
            <w:r w:rsidR="00FC0F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(5.5)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0F43C6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</w:t>
            </w:r>
            <w:r w:rsidR="00FC0F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78</w:t>
            </w:r>
          </w:p>
        </w:tc>
      </w:tr>
      <w:tr w:rsidR="000F43C6" w:rsidRPr="00B469D7" w:rsidTr="00810D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Malignancy</w:t>
            </w:r>
            <w:proofErr w:type="spellEnd"/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n (%)</w:t>
            </w:r>
          </w:p>
        </w:tc>
        <w:tc>
          <w:tcPr>
            <w:tcW w:w="850" w:type="dxa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0F43C6" w:rsidRPr="00B469D7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117 (14.</w:t>
            </w:r>
            <w:r w:rsidRPr="00B4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6)</w:t>
            </w:r>
          </w:p>
        </w:tc>
        <w:tc>
          <w:tcPr>
            <w:tcW w:w="1276" w:type="dxa"/>
            <w:vAlign w:val="center"/>
          </w:tcPr>
          <w:p w:rsidR="000F43C6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97</w:t>
            </w:r>
            <w:r w:rsidR="00DB3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(14.0)</w:t>
            </w:r>
          </w:p>
        </w:tc>
        <w:tc>
          <w:tcPr>
            <w:tcW w:w="1275" w:type="dxa"/>
            <w:vAlign w:val="center"/>
          </w:tcPr>
          <w:p w:rsidR="000F43C6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20</w:t>
            </w:r>
            <w:r w:rsidR="00012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(18.3)</w:t>
            </w:r>
          </w:p>
        </w:tc>
        <w:tc>
          <w:tcPr>
            <w:tcW w:w="993" w:type="dxa"/>
            <w:vAlign w:val="center"/>
          </w:tcPr>
          <w:p w:rsidR="000F43C6" w:rsidRDefault="000F43C6" w:rsidP="00810D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0.2</w:t>
            </w:r>
            <w:r w:rsidR="00C965B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39</w:t>
            </w:r>
          </w:p>
        </w:tc>
      </w:tr>
    </w:tbl>
    <w:p w:rsidR="000F43C6" w:rsidRPr="00BB7F62" w:rsidRDefault="000F43C6" w:rsidP="000F43C6">
      <w:pPr>
        <w:rPr>
          <w:sz w:val="16"/>
          <w:szCs w:val="16"/>
          <w:lang w:val="en-US"/>
        </w:rPr>
      </w:pPr>
      <w:r w:rsidRPr="00E51D93">
        <w:rPr>
          <w:sz w:val="16"/>
          <w:szCs w:val="16"/>
          <w:lang w:val="en-GB"/>
        </w:rPr>
        <w:t>Note: *data missing of 102 patient</w:t>
      </w:r>
      <w:r w:rsidR="00252BB8">
        <w:rPr>
          <w:sz w:val="16"/>
          <w:szCs w:val="16"/>
          <w:lang w:val="en-GB"/>
        </w:rPr>
        <w:t>s</w:t>
      </w:r>
      <w:r w:rsidRPr="00E51D93">
        <w:rPr>
          <w:sz w:val="16"/>
          <w:szCs w:val="16"/>
          <w:lang w:val="en-GB"/>
        </w:rPr>
        <w:t xml:space="preserve">. </w:t>
      </w:r>
      <w:r w:rsidRPr="00E51D93">
        <w:rPr>
          <w:rFonts w:ascii="Arial" w:eastAsia="Times New Roman" w:hAnsi="Arial" w:cs="Arial"/>
          <w:sz w:val="16"/>
          <w:szCs w:val="16"/>
          <w:vertAlign w:val="superscript"/>
          <w:lang w:val="en-US" w:eastAsia="nl-NL"/>
        </w:rPr>
        <w:t>†</w:t>
      </w:r>
      <w:r w:rsidRPr="00E51D93">
        <w:rPr>
          <w:rFonts w:ascii="Arial" w:eastAsia="Times New Roman" w:hAnsi="Arial" w:cs="Arial"/>
          <w:sz w:val="16"/>
          <w:szCs w:val="16"/>
          <w:lang w:val="en-US" w:eastAsia="nl-NL"/>
        </w:rPr>
        <w:t>data missing of 204 patients.</w:t>
      </w:r>
      <w:r w:rsidR="00BB7F62">
        <w:rPr>
          <w:rFonts w:ascii="Arial" w:eastAsia="Times New Roman" w:hAnsi="Arial" w:cs="Arial"/>
          <w:sz w:val="16"/>
          <w:szCs w:val="16"/>
          <w:lang w:val="en-US" w:eastAsia="nl-NL"/>
        </w:rPr>
        <w:t xml:space="preserve"> </w:t>
      </w:r>
      <w:r w:rsidR="00BB7F62" w:rsidRPr="00BB7F62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nl-NL"/>
        </w:rPr>
        <w:t>‡</w:t>
      </w:r>
      <w:r w:rsidR="00BB7F62">
        <w:rPr>
          <w:rFonts w:ascii="Arial" w:eastAsia="Times New Roman" w:hAnsi="Arial" w:cs="Arial"/>
          <w:color w:val="000000"/>
          <w:sz w:val="16"/>
          <w:szCs w:val="16"/>
          <w:lang w:eastAsia="nl-NL"/>
        </w:rPr>
        <w:t xml:space="preserve">e.g. </w:t>
      </w:r>
      <w:proofErr w:type="spellStart"/>
      <w:r w:rsidR="00BB7F62">
        <w:rPr>
          <w:rFonts w:ascii="Arial" w:eastAsia="Times New Roman" w:hAnsi="Arial" w:cs="Arial"/>
          <w:color w:val="000000"/>
          <w:sz w:val="16"/>
          <w:szCs w:val="16"/>
          <w:lang w:eastAsia="nl-NL"/>
        </w:rPr>
        <w:t>dabigatran</w:t>
      </w:r>
      <w:proofErr w:type="spellEnd"/>
      <w:r w:rsidR="00BB7F62">
        <w:rPr>
          <w:rFonts w:ascii="Arial" w:eastAsia="Times New Roman" w:hAnsi="Arial" w:cs="Arial"/>
          <w:color w:val="000000"/>
          <w:sz w:val="16"/>
          <w:szCs w:val="16"/>
          <w:lang w:eastAsia="nl-NL"/>
        </w:rPr>
        <w:t xml:space="preserve"> 150mg, apixaban 5mg, rivaroxaban 20mg, edoxaban 60mg. </w:t>
      </w:r>
      <w:r w:rsidR="00BB7F62" w:rsidRPr="00BB7F6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nl-NL"/>
        </w:rPr>
        <w:t>¶</w:t>
      </w:r>
      <w:r w:rsidR="00BB7F62" w:rsidRPr="00BB7F62">
        <w:rPr>
          <w:rFonts w:ascii="Arial" w:eastAsia="Times New Roman" w:hAnsi="Arial" w:cs="Arial"/>
          <w:color w:val="000000"/>
          <w:sz w:val="16"/>
          <w:szCs w:val="16"/>
          <w:lang w:eastAsia="nl-NL"/>
        </w:rPr>
        <w:t xml:space="preserve"> </w:t>
      </w:r>
      <w:r w:rsidR="00BB7F62">
        <w:rPr>
          <w:rFonts w:ascii="Arial" w:eastAsia="Times New Roman" w:hAnsi="Arial" w:cs="Arial"/>
          <w:color w:val="000000"/>
          <w:sz w:val="16"/>
          <w:szCs w:val="16"/>
          <w:lang w:eastAsia="nl-NL"/>
        </w:rPr>
        <w:t xml:space="preserve">e.g. </w:t>
      </w:r>
      <w:proofErr w:type="spellStart"/>
      <w:r w:rsidR="00BB7F62">
        <w:rPr>
          <w:rFonts w:ascii="Arial" w:eastAsia="Times New Roman" w:hAnsi="Arial" w:cs="Arial"/>
          <w:color w:val="000000"/>
          <w:sz w:val="16"/>
          <w:szCs w:val="16"/>
          <w:lang w:eastAsia="nl-NL"/>
        </w:rPr>
        <w:t>dabigatran</w:t>
      </w:r>
      <w:proofErr w:type="spellEnd"/>
      <w:r w:rsidR="00BB7F62">
        <w:rPr>
          <w:rFonts w:ascii="Arial" w:eastAsia="Times New Roman" w:hAnsi="Arial" w:cs="Arial"/>
          <w:color w:val="000000"/>
          <w:sz w:val="16"/>
          <w:szCs w:val="16"/>
          <w:lang w:eastAsia="nl-NL"/>
        </w:rPr>
        <w:t xml:space="preserve"> 1</w:t>
      </w:r>
      <w:r w:rsidR="00BB7F62">
        <w:rPr>
          <w:rFonts w:ascii="Arial" w:eastAsia="Times New Roman" w:hAnsi="Arial" w:cs="Arial"/>
          <w:color w:val="000000"/>
          <w:sz w:val="16"/>
          <w:szCs w:val="16"/>
          <w:lang w:eastAsia="nl-NL"/>
        </w:rPr>
        <w:t>1</w:t>
      </w:r>
      <w:r w:rsidR="00BB7F62">
        <w:rPr>
          <w:rFonts w:ascii="Arial" w:eastAsia="Times New Roman" w:hAnsi="Arial" w:cs="Arial"/>
          <w:color w:val="000000"/>
          <w:sz w:val="16"/>
          <w:szCs w:val="16"/>
          <w:lang w:eastAsia="nl-NL"/>
        </w:rPr>
        <w:t xml:space="preserve">0mg, apixaban </w:t>
      </w:r>
      <w:r w:rsidR="00BB7F62">
        <w:rPr>
          <w:rFonts w:ascii="Arial" w:eastAsia="Times New Roman" w:hAnsi="Arial" w:cs="Arial"/>
          <w:color w:val="000000"/>
          <w:sz w:val="16"/>
          <w:szCs w:val="16"/>
          <w:lang w:eastAsia="nl-NL"/>
        </w:rPr>
        <w:t>2,5m</w:t>
      </w:r>
      <w:r w:rsidR="00BB7F62">
        <w:rPr>
          <w:rFonts w:ascii="Arial" w:eastAsia="Times New Roman" w:hAnsi="Arial" w:cs="Arial"/>
          <w:color w:val="000000"/>
          <w:sz w:val="16"/>
          <w:szCs w:val="16"/>
          <w:lang w:eastAsia="nl-NL"/>
        </w:rPr>
        <w:t xml:space="preserve">g, rivaroxaban </w:t>
      </w:r>
      <w:r w:rsidR="00BB7F62">
        <w:rPr>
          <w:rFonts w:ascii="Arial" w:eastAsia="Times New Roman" w:hAnsi="Arial" w:cs="Arial"/>
          <w:color w:val="000000"/>
          <w:sz w:val="16"/>
          <w:szCs w:val="16"/>
          <w:lang w:eastAsia="nl-NL"/>
        </w:rPr>
        <w:t>15</w:t>
      </w:r>
      <w:r w:rsidR="00BB7F62">
        <w:rPr>
          <w:rFonts w:ascii="Arial" w:eastAsia="Times New Roman" w:hAnsi="Arial" w:cs="Arial"/>
          <w:color w:val="000000"/>
          <w:sz w:val="16"/>
          <w:szCs w:val="16"/>
          <w:lang w:eastAsia="nl-NL"/>
        </w:rPr>
        <w:t xml:space="preserve">mg, edoxaban </w:t>
      </w:r>
      <w:r w:rsidR="00BB7F62">
        <w:rPr>
          <w:rFonts w:ascii="Arial" w:eastAsia="Times New Roman" w:hAnsi="Arial" w:cs="Arial"/>
          <w:color w:val="000000"/>
          <w:sz w:val="16"/>
          <w:szCs w:val="16"/>
          <w:lang w:eastAsia="nl-NL"/>
        </w:rPr>
        <w:t>30</w:t>
      </w:r>
      <w:r w:rsidR="00BB7F62">
        <w:rPr>
          <w:rFonts w:ascii="Arial" w:eastAsia="Times New Roman" w:hAnsi="Arial" w:cs="Arial"/>
          <w:color w:val="000000"/>
          <w:sz w:val="16"/>
          <w:szCs w:val="16"/>
          <w:lang w:eastAsia="nl-NL"/>
        </w:rPr>
        <w:t>mg.</w:t>
      </w:r>
    </w:p>
    <w:p w:rsidR="00F6666B" w:rsidRPr="000F43C6" w:rsidRDefault="00F6666B">
      <w:pPr>
        <w:rPr>
          <w:b/>
          <w:szCs w:val="22"/>
          <w:lang w:val="en-GB"/>
        </w:rPr>
      </w:pPr>
    </w:p>
    <w:sectPr w:rsidR="00F6666B" w:rsidRPr="000F4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56BF"/>
    <w:multiLevelType w:val="hybridMultilevel"/>
    <w:tmpl w:val="45DA53B4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C71B5F"/>
    <w:multiLevelType w:val="hybridMultilevel"/>
    <w:tmpl w:val="89E0DE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1A3C"/>
    <w:multiLevelType w:val="hybridMultilevel"/>
    <w:tmpl w:val="4FFE45C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3C6"/>
    <w:rsid w:val="00012009"/>
    <w:rsid w:val="000F43C6"/>
    <w:rsid w:val="00252BB8"/>
    <w:rsid w:val="00255718"/>
    <w:rsid w:val="005B5A29"/>
    <w:rsid w:val="00711BCE"/>
    <w:rsid w:val="008A536F"/>
    <w:rsid w:val="00AA06A5"/>
    <w:rsid w:val="00AD4C1F"/>
    <w:rsid w:val="00BB7F62"/>
    <w:rsid w:val="00BE6767"/>
    <w:rsid w:val="00C965BF"/>
    <w:rsid w:val="00DB328C"/>
    <w:rsid w:val="00F00427"/>
    <w:rsid w:val="00F6666B"/>
    <w:rsid w:val="00FA4B8D"/>
    <w:rsid w:val="00FC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FE3A8"/>
  <w15:docId w15:val="{2214862F-C553-734E-ABE7-63C943C8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F43C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lijst-accent1">
    <w:name w:val="Light List Accent 1"/>
    <w:basedOn w:val="Standaardtabel"/>
    <w:uiPriority w:val="61"/>
    <w:rsid w:val="000F43C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763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Antonius Ziekenhuis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a.de.veer</dc:creator>
  <cp:lastModifiedBy>Anne de Veer</cp:lastModifiedBy>
  <cp:revision>15</cp:revision>
  <dcterms:created xsi:type="dcterms:W3CDTF">2019-01-03T15:05:00Z</dcterms:created>
  <dcterms:modified xsi:type="dcterms:W3CDTF">2019-01-03T16:00:00Z</dcterms:modified>
</cp:coreProperties>
</file>