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99" w:rsidRPr="005F4ECA" w:rsidRDefault="00862799" w:rsidP="00862799">
      <w:pPr>
        <w:pStyle w:val="Caption"/>
        <w:spacing w:after="0"/>
        <w:rPr>
          <w:b/>
          <w:bCs/>
          <w:i w:val="0"/>
          <w:iCs w:val="0"/>
          <w:color w:val="000000" w:themeColor="text1"/>
          <w:sz w:val="26"/>
          <w:szCs w:val="26"/>
          <w:lang w:val="en-US"/>
        </w:rPr>
      </w:pPr>
      <w:bookmarkStart w:id="0" w:name="_Toc73295212"/>
      <w:r w:rsidRPr="005F4ECA">
        <w:rPr>
          <w:b/>
          <w:i w:val="0"/>
          <w:color w:val="000000" w:themeColor="text1"/>
          <w:sz w:val="26"/>
          <w:szCs w:val="26"/>
          <w:lang w:val="en-US"/>
        </w:rPr>
        <w:t>Supplementary Materials</w:t>
      </w:r>
    </w:p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  <w:r w:rsidRPr="005F4ECA">
        <w:rPr>
          <w:b/>
          <w:iCs/>
          <w:color w:val="000000" w:themeColor="text1"/>
          <w:sz w:val="22"/>
          <w:szCs w:val="22"/>
          <w:lang w:val="en-US"/>
        </w:rPr>
        <w:t xml:space="preserve">Supplementary Table 1: </w:t>
      </w:r>
      <w:r w:rsidRPr="005F4ECA">
        <w:rPr>
          <w:iCs/>
          <w:color w:val="000000" w:themeColor="text1"/>
          <w:sz w:val="22"/>
          <w:szCs w:val="22"/>
          <w:lang w:val="en-US"/>
        </w:rPr>
        <w:t>Model fit comparison for LCGA of perceived social support</w:t>
      </w:r>
    </w:p>
    <w:p w:rsidR="00862799" w:rsidRPr="005F4ECA" w:rsidRDefault="00862799" w:rsidP="00862799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pPr w:leftFromText="142" w:rightFromText="142" w:vertAnchor="text" w:horzAnchor="margin" w:tblpY="-112"/>
        <w:tblOverlap w:val="never"/>
        <w:tblW w:w="4771" w:type="pct"/>
        <w:tblLook w:val="04A0" w:firstRow="1" w:lastRow="0" w:firstColumn="1" w:lastColumn="0" w:noHBand="0" w:noVBand="1"/>
      </w:tblPr>
      <w:tblGrid>
        <w:gridCol w:w="1202"/>
        <w:gridCol w:w="1276"/>
        <w:gridCol w:w="1115"/>
        <w:gridCol w:w="1594"/>
        <w:gridCol w:w="1192"/>
        <w:gridCol w:w="1223"/>
        <w:gridCol w:w="1468"/>
      </w:tblGrid>
      <w:tr w:rsidR="00862799" w:rsidRPr="00BF4443" w:rsidTr="00373212">
        <w:trPr>
          <w:trHeight w:val="1711"/>
        </w:trPr>
        <w:tc>
          <w:tcPr>
            <w:tcW w:w="634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Number of classes per model</w:t>
            </w:r>
          </w:p>
        </w:tc>
        <w:tc>
          <w:tcPr>
            <w:tcW w:w="742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</w:rPr>
            </w:pPr>
            <w:r w:rsidRPr="005F4ECA">
              <w:rPr>
                <w:color w:val="000000" w:themeColor="text1"/>
              </w:rPr>
              <w:t>Bayesian information criteria</w:t>
            </w:r>
          </w:p>
        </w:tc>
        <w:tc>
          <w:tcPr>
            <w:tcW w:w="655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Lo-</w:t>
            </w:r>
            <w:proofErr w:type="spellStart"/>
            <w:r w:rsidRPr="005F4ECA">
              <w:rPr>
                <w:color w:val="000000" w:themeColor="text1"/>
                <w:lang w:val="en-US"/>
              </w:rPr>
              <w:t>Mendell</w:t>
            </w:r>
            <w:proofErr w:type="spellEnd"/>
            <w:r w:rsidRPr="005F4ECA">
              <w:rPr>
                <w:color w:val="000000" w:themeColor="text1"/>
                <w:lang w:val="en-US"/>
              </w:rPr>
              <w:t>-Rubin likelihood ratio test (</w:t>
            </w:r>
            <w:r w:rsidRPr="005F4ECA">
              <w:rPr>
                <w:i/>
                <w:color w:val="000000" w:themeColor="text1"/>
                <w:lang w:val="en-US"/>
              </w:rPr>
              <w:t>p</w:t>
            </w:r>
            <w:r w:rsidRPr="005F4ECA">
              <w:rPr>
                <w:color w:val="000000" w:themeColor="text1"/>
                <w:lang w:val="en-US"/>
              </w:rPr>
              <w:t>-value)</w:t>
            </w:r>
          </w:p>
        </w:tc>
        <w:tc>
          <w:tcPr>
            <w:tcW w:w="832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Bootstrapped likelihood ratio test</w:t>
            </w:r>
          </w:p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(</w:t>
            </w:r>
            <w:r w:rsidRPr="005F4ECA">
              <w:rPr>
                <w:i/>
                <w:color w:val="000000" w:themeColor="text1"/>
                <w:lang w:val="en-US"/>
              </w:rPr>
              <w:t>p</w:t>
            </w:r>
            <w:r w:rsidRPr="005F4ECA">
              <w:rPr>
                <w:color w:val="000000" w:themeColor="text1"/>
                <w:lang w:val="en-US"/>
              </w:rPr>
              <w:t>-value)</w:t>
            </w:r>
          </w:p>
        </w:tc>
        <w:tc>
          <w:tcPr>
            <w:tcW w:w="633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Entropy</w:t>
            </w:r>
          </w:p>
        </w:tc>
        <w:tc>
          <w:tcPr>
            <w:tcW w:w="769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Average latent class probabilities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Proportions for the latent classes</w:t>
            </w:r>
          </w:p>
        </w:tc>
      </w:tr>
      <w:tr w:rsidR="00862799" w:rsidRPr="005F4ECA" w:rsidTr="00373212">
        <w:trPr>
          <w:trHeight w:val="286"/>
        </w:trPr>
        <w:tc>
          <w:tcPr>
            <w:tcW w:w="634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42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5894.6</w:t>
            </w:r>
          </w:p>
        </w:tc>
        <w:tc>
          <w:tcPr>
            <w:tcW w:w="655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&lt;0.001</w:t>
            </w:r>
          </w:p>
        </w:tc>
        <w:tc>
          <w:tcPr>
            <w:tcW w:w="832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&lt;.001</w:t>
            </w:r>
          </w:p>
        </w:tc>
        <w:tc>
          <w:tcPr>
            <w:tcW w:w="633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0.850</w:t>
            </w:r>
          </w:p>
        </w:tc>
        <w:tc>
          <w:tcPr>
            <w:tcW w:w="769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0.924-.978</w:t>
            </w:r>
          </w:p>
        </w:tc>
        <w:tc>
          <w:tcPr>
            <w:tcW w:w="735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0.38-0.62</w:t>
            </w:r>
          </w:p>
        </w:tc>
      </w:tr>
      <w:tr w:rsidR="00862799" w:rsidRPr="005F4ECA" w:rsidTr="00373212">
        <w:trPr>
          <w:trHeight w:val="286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5900.7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0.550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.095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0.733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0.728-.935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0.22-0.56</w:t>
            </w:r>
          </w:p>
        </w:tc>
      </w:tr>
      <w:tr w:rsidR="00862799" w:rsidRPr="005F4ECA" w:rsidTr="00373212">
        <w:trPr>
          <w:trHeight w:val="286"/>
        </w:trPr>
        <w:tc>
          <w:tcPr>
            <w:tcW w:w="634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42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5903.2</w:t>
            </w:r>
          </w:p>
        </w:tc>
        <w:tc>
          <w:tcPr>
            <w:tcW w:w="655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0.273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&lt;.001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0.748</w:t>
            </w: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0.724-.920</w:t>
            </w:r>
          </w:p>
        </w:tc>
        <w:tc>
          <w:tcPr>
            <w:tcW w:w="735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0.08-0.48</w:t>
            </w:r>
          </w:p>
        </w:tc>
      </w:tr>
    </w:tbl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  <w:r w:rsidRPr="005F4ECA">
        <w:rPr>
          <w:i/>
          <w:color w:val="000000" w:themeColor="text1"/>
          <w:sz w:val="22"/>
          <w:lang w:val="en-US"/>
        </w:rPr>
        <w:t>Notes.</w:t>
      </w:r>
      <w:r w:rsidRPr="005F4ECA">
        <w:rPr>
          <w:color w:val="000000" w:themeColor="text1"/>
          <w:sz w:val="22"/>
          <w:lang w:val="en-US"/>
        </w:rPr>
        <w:t xml:space="preserve"> Values are based on the </w:t>
      </w:r>
      <w:proofErr w:type="spellStart"/>
      <w:r w:rsidRPr="005F4ECA">
        <w:rPr>
          <w:color w:val="000000" w:themeColor="text1"/>
          <w:sz w:val="22"/>
          <w:lang w:val="en-US"/>
        </w:rPr>
        <w:t>FSozU</w:t>
      </w:r>
      <w:proofErr w:type="spellEnd"/>
      <w:r w:rsidRPr="005F4ECA">
        <w:rPr>
          <w:color w:val="000000" w:themeColor="text1"/>
          <w:sz w:val="22"/>
          <w:lang w:val="en-US"/>
        </w:rPr>
        <w:t xml:space="preserve"> assessed at the children’s ages of 1, 4, 6, 10, and 13 years.</w:t>
      </w:r>
    </w:p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</w:p>
    <w:p w:rsidR="00862799" w:rsidRPr="005F4ECA" w:rsidRDefault="00862799" w:rsidP="00862799">
      <w:pPr>
        <w:rPr>
          <w:b/>
          <w:bCs/>
          <w:color w:val="000000" w:themeColor="text1"/>
          <w:sz w:val="22"/>
          <w:lang w:val="en-US"/>
        </w:rPr>
      </w:pPr>
      <w:r w:rsidRPr="005F4ECA">
        <w:rPr>
          <w:b/>
          <w:color w:val="000000" w:themeColor="text1"/>
          <w:sz w:val="22"/>
          <w:lang w:val="en-US"/>
        </w:rPr>
        <w:t xml:space="preserve">Supplementary Table 2: </w:t>
      </w:r>
      <w:r w:rsidRPr="005F4ECA">
        <w:rPr>
          <w:color w:val="000000" w:themeColor="text1"/>
          <w:sz w:val="22"/>
          <w:lang w:val="en-US"/>
        </w:rPr>
        <w:t xml:space="preserve">Latent class growth model estimates for perceived social support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1684"/>
        <w:gridCol w:w="2123"/>
        <w:gridCol w:w="1766"/>
        <w:gridCol w:w="1729"/>
      </w:tblGrid>
      <w:tr w:rsidR="00862799" w:rsidRPr="005F4ECA" w:rsidTr="00373212">
        <w:tc>
          <w:tcPr>
            <w:tcW w:w="1810" w:type="dxa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n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i/>
                <w:iCs/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unstandardized</w:t>
            </w:r>
            <w:r w:rsidRPr="005F4ECA">
              <w:rPr>
                <w:i/>
                <w:color w:val="000000" w:themeColor="text1"/>
                <w:lang w:val="en-US"/>
              </w:rPr>
              <w:t xml:space="preserve"> B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standard error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i/>
                <w:color w:val="000000" w:themeColor="text1"/>
                <w:lang w:val="en-US"/>
              </w:rPr>
              <w:t>p</w:t>
            </w:r>
            <w:r w:rsidRPr="005F4ECA">
              <w:rPr>
                <w:color w:val="000000" w:themeColor="text1"/>
                <w:lang w:val="en-US"/>
              </w:rPr>
              <w:t>-value</w:t>
            </w:r>
          </w:p>
        </w:tc>
      </w:tr>
      <w:tr w:rsidR="00862799" w:rsidRPr="005F4ECA" w:rsidTr="00373212"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Class 1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47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</w:tr>
      <w:tr w:rsidR="00862799" w:rsidRPr="005F4ECA" w:rsidTr="00373212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Intercept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32.994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6.788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&lt;.001</w:t>
            </w:r>
          </w:p>
        </w:tc>
      </w:tr>
      <w:tr w:rsidR="00862799" w:rsidRPr="005F4ECA" w:rsidTr="00373212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Slope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1.073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0.784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0.171</w:t>
            </w:r>
          </w:p>
        </w:tc>
      </w:tr>
      <w:tr w:rsidR="00862799" w:rsidRPr="005F4ECA" w:rsidTr="00373212">
        <w:tc>
          <w:tcPr>
            <w:tcW w:w="1810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Class 2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78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</w:tr>
      <w:tr w:rsidR="00862799" w:rsidRPr="005F4ECA" w:rsidTr="00373212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Intercept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74.675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3.744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&lt;.001</w:t>
            </w:r>
          </w:p>
        </w:tc>
      </w:tr>
      <w:tr w:rsidR="00862799" w:rsidRPr="005F4ECA" w:rsidTr="00373212">
        <w:tc>
          <w:tcPr>
            <w:tcW w:w="1810" w:type="dxa"/>
            <w:tcBorders>
              <w:top w:val="nil"/>
              <w:left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Slope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0.310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0.501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</w:tcPr>
          <w:p w:rsidR="00862799" w:rsidRPr="005F4ECA" w:rsidRDefault="00862799" w:rsidP="00373212">
            <w:pPr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0.536</w:t>
            </w:r>
          </w:p>
        </w:tc>
      </w:tr>
    </w:tbl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  <w:r w:rsidRPr="005F4ECA">
        <w:rPr>
          <w:i/>
          <w:color w:val="000000" w:themeColor="text1"/>
          <w:sz w:val="22"/>
          <w:lang w:val="en-US"/>
        </w:rPr>
        <w:t>Notes.</w:t>
      </w:r>
      <w:r w:rsidRPr="005F4ECA">
        <w:rPr>
          <w:color w:val="000000" w:themeColor="text1"/>
          <w:sz w:val="22"/>
          <w:lang w:val="en-US"/>
        </w:rPr>
        <w:t xml:space="preserve"> </w:t>
      </w:r>
      <w:r w:rsidRPr="005F4ECA">
        <w:rPr>
          <w:i/>
          <w:color w:val="000000" w:themeColor="text1"/>
          <w:sz w:val="22"/>
          <w:lang w:val="en-US"/>
        </w:rPr>
        <w:t>n</w:t>
      </w:r>
      <w:r w:rsidRPr="005F4ECA">
        <w:rPr>
          <w:color w:val="000000" w:themeColor="text1"/>
          <w:sz w:val="22"/>
          <w:lang w:val="en-US"/>
        </w:rPr>
        <w:t xml:space="preserve"> = numbers of mothers in the respective latent class. </w:t>
      </w:r>
    </w:p>
    <w:p w:rsidR="00862799" w:rsidRPr="005F4ECA" w:rsidRDefault="00862799" w:rsidP="00862799">
      <w:pPr>
        <w:rPr>
          <w:b/>
          <w:bCs/>
          <w:color w:val="000000" w:themeColor="text1"/>
          <w:sz w:val="22"/>
          <w:lang w:val="en-US"/>
        </w:rPr>
      </w:pPr>
      <w:r w:rsidRPr="005F4ECA">
        <w:rPr>
          <w:b/>
          <w:i/>
          <w:color w:val="000000" w:themeColor="text1"/>
          <w:sz w:val="22"/>
          <w:lang w:val="en-US"/>
        </w:rPr>
        <w:br w:type="page"/>
      </w:r>
    </w:p>
    <w:p w:rsidR="00862799" w:rsidRPr="005F4ECA" w:rsidRDefault="00862799" w:rsidP="00862799">
      <w:pPr>
        <w:pStyle w:val="Caption"/>
        <w:spacing w:after="0"/>
        <w:rPr>
          <w:i w:val="0"/>
          <w:iCs w:val="0"/>
          <w:color w:val="000000" w:themeColor="text1"/>
          <w:sz w:val="22"/>
          <w:szCs w:val="22"/>
          <w:lang w:val="en-US"/>
        </w:rPr>
      </w:pPr>
      <w:r w:rsidRPr="005F4ECA">
        <w:rPr>
          <w:b/>
          <w:i w:val="0"/>
          <w:color w:val="000000" w:themeColor="text1"/>
          <w:sz w:val="22"/>
          <w:szCs w:val="22"/>
          <w:lang w:val="en-US"/>
        </w:rPr>
        <w:lastRenderedPageBreak/>
        <w:t xml:space="preserve">Supplementary Table 3: </w:t>
      </w:r>
      <w:r w:rsidRPr="005F4ECA">
        <w:rPr>
          <w:i w:val="0"/>
          <w:color w:val="000000" w:themeColor="text1"/>
          <w:sz w:val="22"/>
          <w:szCs w:val="22"/>
          <w:lang w:val="en-US"/>
        </w:rPr>
        <w:t xml:space="preserve">Types and frequencies of CHD diagnoses </w:t>
      </w:r>
      <w:bookmarkEnd w:id="0"/>
    </w:p>
    <w:tbl>
      <w:tblPr>
        <w:tblStyle w:val="TableGrid"/>
        <w:tblW w:w="82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1701"/>
      </w:tblGrid>
      <w:tr w:rsidR="00862799" w:rsidRPr="005F4ECA" w:rsidTr="00373212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rPr>
                <w:color w:val="000000" w:themeColor="text1"/>
                <w:lang w:val="en-GB"/>
              </w:rPr>
            </w:pPr>
            <w:bookmarkStart w:id="1" w:name="_Hlk65859207"/>
            <w:r w:rsidRPr="005F4ECA">
              <w:rPr>
                <w:color w:val="000000" w:themeColor="text1"/>
                <w:lang w:val="en-GB"/>
              </w:rPr>
              <w:t>Diagnoses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i/>
                <w:iCs/>
                <w:color w:val="000000" w:themeColor="text1"/>
                <w:lang w:val="en-GB"/>
              </w:rPr>
            </w:pPr>
            <w:r w:rsidRPr="005F4ECA">
              <w:rPr>
                <w:i/>
                <w:color w:val="000000" w:themeColor="text1"/>
                <w:lang w:val="en-GB"/>
              </w:rPr>
              <w:t>N (%)</w:t>
            </w:r>
          </w:p>
        </w:tc>
      </w:tr>
      <w:tr w:rsidR="00862799" w:rsidRPr="005F4ECA" w:rsidTr="00373212"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rPr>
                <w:b/>
                <w:bCs/>
                <w:color w:val="000000" w:themeColor="text1"/>
                <w:lang w:val="en-GB"/>
              </w:rPr>
            </w:pPr>
            <w:r w:rsidRPr="005F4ECA">
              <w:rPr>
                <w:b/>
                <w:color w:val="000000" w:themeColor="text1"/>
                <w:lang w:val="en-GB"/>
              </w:rPr>
              <w:t>Biventricular heart defects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ab/>
            </w:r>
            <w:r w:rsidRPr="005F4ECA">
              <w:rPr>
                <w:color w:val="000000" w:themeColor="text1"/>
                <w:lang w:val="en-GB" w:eastAsia="de-CH"/>
              </w:rPr>
              <w:t>Transposition of the great arteries (TGA)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36 (29%)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  <w:t>Ventricular septal defect (VSD)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19 (15%)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 w:eastAsia="de-CH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  <w:t xml:space="preserve">Tetralogy of </w:t>
            </w:r>
            <w:proofErr w:type="spellStart"/>
            <w:r w:rsidRPr="005F4ECA">
              <w:rPr>
                <w:color w:val="000000" w:themeColor="text1"/>
                <w:lang w:val="en-GB" w:eastAsia="de-CH"/>
              </w:rPr>
              <w:t>Fallot</w:t>
            </w:r>
            <w:proofErr w:type="spellEnd"/>
            <w:r w:rsidRPr="005F4ECA">
              <w:rPr>
                <w:color w:val="000000" w:themeColor="text1"/>
                <w:lang w:val="en-GB" w:eastAsia="de-CH"/>
              </w:rPr>
              <w:t xml:space="preserve"> (TOF)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15 (12%)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 w:eastAsia="de-CH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  <w:t>Truncus arteriosus (TA)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5 (4%)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 w:eastAsia="de-CH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</w:r>
            <w:proofErr w:type="spellStart"/>
            <w:r w:rsidRPr="005F4ECA">
              <w:rPr>
                <w:color w:val="000000" w:themeColor="text1"/>
                <w:lang w:val="en-GB" w:eastAsia="de-CH"/>
              </w:rPr>
              <w:t>Coarctation</w:t>
            </w:r>
            <w:proofErr w:type="spellEnd"/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7 (6%)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ab/>
            </w:r>
            <w:r w:rsidRPr="005F4ECA">
              <w:rPr>
                <w:color w:val="000000" w:themeColor="text1"/>
                <w:lang w:val="en-GB" w:eastAsia="de-CH"/>
              </w:rPr>
              <w:t>Atrioventricular canal defect (AVCD)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6 (5%)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ab/>
            </w:r>
            <w:r w:rsidRPr="005F4ECA">
              <w:rPr>
                <w:color w:val="000000" w:themeColor="text1"/>
                <w:lang w:val="en-GB" w:eastAsia="de-CH"/>
              </w:rPr>
              <w:t>Total anomalous pulmonary venous connection (TAPVC)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4 (3%)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ab/>
              <w:t>other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13 (10%)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105 (84%)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rPr>
                <w:b/>
                <w:bCs/>
                <w:color w:val="000000" w:themeColor="text1"/>
                <w:lang w:val="en-GB"/>
              </w:rPr>
            </w:pPr>
            <w:proofErr w:type="spellStart"/>
            <w:r w:rsidRPr="005F4ECA">
              <w:rPr>
                <w:b/>
                <w:color w:val="000000" w:themeColor="text1"/>
                <w:lang w:val="en-GB"/>
              </w:rPr>
              <w:t>Univentricular</w:t>
            </w:r>
            <w:proofErr w:type="spellEnd"/>
            <w:r w:rsidRPr="005F4ECA">
              <w:rPr>
                <w:b/>
                <w:color w:val="000000" w:themeColor="text1"/>
                <w:lang w:val="en-GB"/>
              </w:rPr>
              <w:t xml:space="preserve"> heart defects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b/>
                <w:bCs/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  <w:t>Pulmonary atresia (PA)</w:t>
            </w:r>
          </w:p>
        </w:tc>
        <w:tc>
          <w:tcPr>
            <w:tcW w:w="1701" w:type="dxa"/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2 (2%)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</w:r>
            <w:proofErr w:type="spellStart"/>
            <w:r w:rsidRPr="005F4ECA">
              <w:rPr>
                <w:color w:val="000000" w:themeColor="text1"/>
                <w:lang w:val="en-GB" w:eastAsia="de-CH"/>
              </w:rPr>
              <w:t>Hypoplastic</w:t>
            </w:r>
            <w:proofErr w:type="spellEnd"/>
            <w:r w:rsidRPr="005F4ECA">
              <w:rPr>
                <w:color w:val="000000" w:themeColor="text1"/>
                <w:lang w:val="en-GB" w:eastAsia="de-CH"/>
              </w:rPr>
              <w:t xml:space="preserve"> left heart syndrome (HLHS)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8 (6%)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 w:eastAsia="de-CH"/>
              </w:rPr>
            </w:pPr>
            <w:r w:rsidRPr="005F4ECA">
              <w:rPr>
                <w:color w:val="000000" w:themeColor="text1"/>
                <w:lang w:val="en-GB" w:eastAsia="de-CH"/>
              </w:rPr>
              <w:tab/>
              <w:t xml:space="preserve">Other </w:t>
            </w:r>
            <w:bookmarkStart w:id="2" w:name="_Hlk66459784"/>
            <w:r w:rsidRPr="005F4ECA">
              <w:rPr>
                <w:color w:val="000000" w:themeColor="text1"/>
                <w:lang w:val="en-GB" w:eastAsia="de-CH"/>
              </w:rPr>
              <w:t>functional single ventricle anomaly</w:t>
            </w:r>
            <w:bookmarkEnd w:id="2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10 (8%)</w:t>
            </w:r>
          </w:p>
        </w:tc>
      </w:tr>
      <w:tr w:rsidR="00862799" w:rsidRPr="005F4ECA" w:rsidTr="00373212">
        <w:tc>
          <w:tcPr>
            <w:tcW w:w="6521" w:type="dxa"/>
            <w:vAlign w:val="center"/>
          </w:tcPr>
          <w:p w:rsidR="00862799" w:rsidRPr="005F4ECA" w:rsidRDefault="00862799" w:rsidP="00373212">
            <w:pPr>
              <w:rPr>
                <w:color w:val="000000" w:themeColor="text1"/>
                <w:lang w:val="en-GB" w:eastAsia="de-CH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62799" w:rsidRPr="005F4ECA" w:rsidRDefault="00862799" w:rsidP="00373212">
            <w:pPr>
              <w:tabs>
                <w:tab w:val="left" w:pos="6793"/>
              </w:tabs>
              <w:jc w:val="right"/>
              <w:rPr>
                <w:color w:val="000000" w:themeColor="text1"/>
                <w:lang w:val="en-GB"/>
              </w:rPr>
            </w:pPr>
            <w:r w:rsidRPr="005F4ECA">
              <w:rPr>
                <w:color w:val="000000" w:themeColor="text1"/>
                <w:lang w:val="en-GB"/>
              </w:rPr>
              <w:t>20 (16%)</w:t>
            </w:r>
          </w:p>
        </w:tc>
      </w:tr>
      <w:bookmarkEnd w:id="1"/>
    </w:tbl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  <w:r w:rsidRPr="005F4ECA">
        <w:rPr>
          <w:b/>
          <w:color w:val="000000" w:themeColor="text1"/>
          <w:sz w:val="22"/>
          <w:lang w:val="en-US"/>
        </w:rPr>
        <w:t>Supplementary Table 4</w:t>
      </w:r>
      <w:r w:rsidRPr="005F4ECA">
        <w:rPr>
          <w:color w:val="000000" w:themeColor="text1"/>
          <w:sz w:val="22"/>
          <w:lang w:val="en-US"/>
        </w:rPr>
        <w:t xml:space="preserve">: Model fit comparison for the LCGA of </w:t>
      </w:r>
      <w:r>
        <w:rPr>
          <w:color w:val="000000" w:themeColor="text1"/>
          <w:sz w:val="22"/>
          <w:lang w:val="en-US"/>
        </w:rPr>
        <w:t>m-</w:t>
      </w:r>
      <w:proofErr w:type="spellStart"/>
      <w:r>
        <w:rPr>
          <w:color w:val="000000" w:themeColor="text1"/>
          <w:sz w:val="22"/>
          <w:lang w:val="en-US"/>
        </w:rPr>
        <w:t>HR</w:t>
      </w:r>
      <w:r w:rsidRPr="005F4ECA">
        <w:rPr>
          <w:color w:val="000000" w:themeColor="text1"/>
          <w:sz w:val="22"/>
          <w:lang w:val="en-US"/>
        </w:rPr>
        <w:t>QoL</w:t>
      </w:r>
      <w:proofErr w:type="spellEnd"/>
      <w:r w:rsidRPr="005F4ECA">
        <w:rPr>
          <w:color w:val="000000" w:themeColor="text1"/>
          <w:sz w:val="22"/>
          <w:lang w:val="en-US"/>
        </w:rPr>
        <w:t xml:space="preserve"> </w:t>
      </w: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tbl>
      <w:tblPr>
        <w:tblStyle w:val="TableGrid"/>
        <w:tblpPr w:leftFromText="142" w:rightFromText="142" w:vertAnchor="text" w:horzAnchor="margin" w:tblpY="-112"/>
        <w:tblOverlap w:val="never"/>
        <w:tblW w:w="4771" w:type="pct"/>
        <w:tblLook w:val="04A0" w:firstRow="1" w:lastRow="0" w:firstColumn="1" w:lastColumn="0" w:noHBand="0" w:noVBand="1"/>
      </w:tblPr>
      <w:tblGrid>
        <w:gridCol w:w="1216"/>
        <w:gridCol w:w="1292"/>
        <w:gridCol w:w="1018"/>
        <w:gridCol w:w="1614"/>
        <w:gridCol w:w="1206"/>
        <w:gridCol w:w="1238"/>
        <w:gridCol w:w="1486"/>
      </w:tblGrid>
      <w:tr w:rsidR="00862799" w:rsidRPr="00C5456A" w:rsidTr="00373212">
        <w:trPr>
          <w:trHeight w:val="1711"/>
        </w:trPr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Number of classes per model</w:t>
            </w:r>
          </w:p>
        </w:tc>
        <w:tc>
          <w:tcPr>
            <w:tcW w:w="738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</w:rPr>
            </w:pPr>
            <w:r w:rsidRPr="005F4ECA">
              <w:rPr>
                <w:color w:val="000000" w:themeColor="text1"/>
              </w:rPr>
              <w:t>Bayesian information criteria</w:t>
            </w: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Lo-</w:t>
            </w:r>
            <w:proofErr w:type="spellStart"/>
            <w:r w:rsidRPr="005F4ECA">
              <w:rPr>
                <w:color w:val="000000" w:themeColor="text1"/>
                <w:lang w:val="en-US"/>
              </w:rPr>
              <w:t>Mendell</w:t>
            </w:r>
            <w:proofErr w:type="spellEnd"/>
            <w:r w:rsidRPr="005F4ECA">
              <w:rPr>
                <w:color w:val="000000" w:themeColor="text1"/>
                <w:lang w:val="en-US"/>
              </w:rPr>
              <w:t>-Rubin likelihood ratio test (</w:t>
            </w:r>
            <w:r w:rsidRPr="005F4ECA">
              <w:rPr>
                <w:i/>
                <w:color w:val="000000" w:themeColor="text1"/>
                <w:lang w:val="en-US"/>
              </w:rPr>
              <w:t>p</w:t>
            </w:r>
            <w:r w:rsidRPr="005F4ECA">
              <w:rPr>
                <w:color w:val="000000" w:themeColor="text1"/>
                <w:lang w:val="en-US"/>
              </w:rPr>
              <w:t>-value)</w:t>
            </w:r>
          </w:p>
        </w:tc>
        <w:tc>
          <w:tcPr>
            <w:tcW w:w="828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Bootstrapped likelihood ratio test</w:t>
            </w:r>
          </w:p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(</w:t>
            </w:r>
            <w:r w:rsidRPr="005F4ECA">
              <w:rPr>
                <w:i/>
                <w:color w:val="000000" w:themeColor="text1"/>
                <w:lang w:val="en-US"/>
              </w:rPr>
              <w:t>p</w:t>
            </w:r>
            <w:r w:rsidRPr="005F4ECA">
              <w:rPr>
                <w:color w:val="000000" w:themeColor="text1"/>
                <w:lang w:val="en-US"/>
              </w:rPr>
              <w:t>-value)</w:t>
            </w:r>
          </w:p>
        </w:tc>
        <w:tc>
          <w:tcPr>
            <w:tcW w:w="628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Entropy</w:t>
            </w: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Average latent class probabilities</w:t>
            </w:r>
          </w:p>
        </w:tc>
        <w:tc>
          <w:tcPr>
            <w:tcW w:w="726" w:type="pct"/>
            <w:tcBorders>
              <w:left w:val="nil"/>
              <w:bottom w:val="single" w:sz="4" w:space="0" w:color="auto"/>
              <w:right w:val="nil"/>
            </w:tcBorders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Proportions for the latent classes</w:t>
            </w:r>
          </w:p>
        </w:tc>
      </w:tr>
      <w:tr w:rsidR="00862799" w:rsidRPr="005F4ECA" w:rsidTr="00373212">
        <w:trPr>
          <w:trHeight w:val="286"/>
        </w:trPr>
        <w:tc>
          <w:tcPr>
            <w:tcW w:w="628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2</w:t>
            </w: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1951.1</w:t>
            </w:r>
          </w:p>
        </w:tc>
        <w:tc>
          <w:tcPr>
            <w:tcW w:w="683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0.006</w:t>
            </w:r>
          </w:p>
        </w:tc>
        <w:tc>
          <w:tcPr>
            <w:tcW w:w="828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&lt;0.001</w:t>
            </w:r>
          </w:p>
        </w:tc>
        <w:tc>
          <w:tcPr>
            <w:tcW w:w="628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0.744</w:t>
            </w:r>
          </w:p>
        </w:tc>
        <w:tc>
          <w:tcPr>
            <w:tcW w:w="768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0.884-0.949</w:t>
            </w:r>
          </w:p>
        </w:tc>
        <w:tc>
          <w:tcPr>
            <w:tcW w:w="726" w:type="pct"/>
            <w:tcBorders>
              <w:left w:val="nil"/>
              <w:bottom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5F4ECA">
              <w:rPr>
                <w:b/>
                <w:color w:val="000000" w:themeColor="text1"/>
                <w:lang w:val="en-US"/>
              </w:rPr>
              <w:t>0.25-0.75</w:t>
            </w:r>
          </w:p>
        </w:tc>
      </w:tr>
      <w:tr w:rsidR="00862799" w:rsidRPr="005F4ECA" w:rsidTr="00373212">
        <w:trPr>
          <w:trHeight w:val="286"/>
        </w:trPr>
        <w:tc>
          <w:tcPr>
            <w:tcW w:w="628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vertAlign w:val="superscript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738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1950.2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0.266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&lt;0.001</w:t>
            </w:r>
          </w:p>
        </w:tc>
        <w:tc>
          <w:tcPr>
            <w:tcW w:w="628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0.794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0.897-0.924</w:t>
            </w:r>
          </w:p>
        </w:tc>
        <w:tc>
          <w:tcPr>
            <w:tcW w:w="726" w:type="pct"/>
            <w:tcBorders>
              <w:top w:val="nil"/>
              <w:left w:val="nil"/>
              <w:right w:val="nil"/>
            </w:tcBorders>
            <w:vAlign w:val="center"/>
          </w:tcPr>
          <w:p w:rsidR="00862799" w:rsidRPr="005F4ECA" w:rsidRDefault="00862799" w:rsidP="00373212">
            <w:pPr>
              <w:jc w:val="center"/>
              <w:rPr>
                <w:color w:val="000000" w:themeColor="text1"/>
                <w:lang w:val="en-US"/>
              </w:rPr>
            </w:pPr>
            <w:r w:rsidRPr="005F4ECA">
              <w:rPr>
                <w:color w:val="000000" w:themeColor="text1"/>
                <w:lang w:val="en-US"/>
              </w:rPr>
              <w:t>0.02-0.72</w:t>
            </w:r>
          </w:p>
        </w:tc>
      </w:tr>
    </w:tbl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  <w:r w:rsidRPr="005F4ECA">
        <w:rPr>
          <w:i/>
          <w:color w:val="000000" w:themeColor="text1"/>
          <w:sz w:val="22"/>
          <w:lang w:val="en-US"/>
        </w:rPr>
        <w:t>Notes.</w:t>
      </w:r>
      <w:r w:rsidRPr="005F4ECA">
        <w:rPr>
          <w:color w:val="000000" w:themeColor="text1"/>
          <w:sz w:val="22"/>
          <w:lang w:val="en-US"/>
        </w:rPr>
        <w:t xml:space="preserve"> Values are based on the SF-12 assessed at discharge, and the children’s ages of 1, 4, 6, 10, and 13 years. The best likelihood value for the four-class solution could not be replicated.</w:t>
      </w:r>
    </w:p>
    <w:p w:rsidR="00862799" w:rsidRPr="005F4ECA" w:rsidRDefault="00862799" w:rsidP="00862799">
      <w:pPr>
        <w:rPr>
          <w:color w:val="000000" w:themeColor="text1"/>
          <w:sz w:val="22"/>
          <w:lang w:val="en-US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rPr>
          <w:color w:val="000000" w:themeColor="text1"/>
          <w:sz w:val="22"/>
          <w:lang w:val="en-GB"/>
        </w:rPr>
      </w:pPr>
    </w:p>
    <w:p w:rsidR="00862799" w:rsidRPr="005F4ECA" w:rsidRDefault="00862799" w:rsidP="00862799">
      <w:pPr>
        <w:pStyle w:val="NormalWeb"/>
        <w:spacing w:before="0" w:beforeAutospacing="0" w:after="0" w:afterAutospacing="0" w:line="480" w:lineRule="auto"/>
        <w:jc w:val="both"/>
        <w:rPr>
          <w:color w:val="000000" w:themeColor="text1"/>
          <w:sz w:val="22"/>
          <w:szCs w:val="22"/>
          <w:lang w:val="en-US"/>
        </w:rPr>
      </w:pPr>
    </w:p>
    <w:p w:rsidR="00862799" w:rsidRPr="003360CE" w:rsidRDefault="00862799" w:rsidP="00862799">
      <w:pPr>
        <w:rPr>
          <w:color w:val="000000" w:themeColor="text1"/>
          <w:lang w:val="en-US"/>
        </w:rPr>
      </w:pPr>
    </w:p>
    <w:p w:rsidR="00756888" w:rsidRDefault="00756888">
      <w:bookmarkStart w:id="3" w:name="_GoBack"/>
      <w:bookmarkEnd w:id="3"/>
    </w:p>
    <w:sectPr w:rsidR="00756888" w:rsidSect="00B14A61">
      <w:footerReference w:type="even" r:id="rId4"/>
      <w:footerReference w:type="default" r:id="rId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427744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C3562" w:rsidRDefault="00862799" w:rsidP="007604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:rsidR="005C3562" w:rsidRDefault="00862799" w:rsidP="005C35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37048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C3562" w:rsidRDefault="00862799" w:rsidP="007604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C3562" w:rsidRDefault="00862799" w:rsidP="005C356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99"/>
    <w:rsid w:val="00074A08"/>
    <w:rsid w:val="00074F13"/>
    <w:rsid w:val="000F3485"/>
    <w:rsid w:val="00115F94"/>
    <w:rsid w:val="00137903"/>
    <w:rsid w:val="00170715"/>
    <w:rsid w:val="00201616"/>
    <w:rsid w:val="0021790C"/>
    <w:rsid w:val="00225439"/>
    <w:rsid w:val="00267245"/>
    <w:rsid w:val="002848F3"/>
    <w:rsid w:val="0029001A"/>
    <w:rsid w:val="00297E86"/>
    <w:rsid w:val="002A4C93"/>
    <w:rsid w:val="002B1497"/>
    <w:rsid w:val="003909D3"/>
    <w:rsid w:val="00431816"/>
    <w:rsid w:val="00455180"/>
    <w:rsid w:val="00472691"/>
    <w:rsid w:val="00483E89"/>
    <w:rsid w:val="004923C0"/>
    <w:rsid w:val="004C5DDF"/>
    <w:rsid w:val="00504D32"/>
    <w:rsid w:val="00547E25"/>
    <w:rsid w:val="005C17C6"/>
    <w:rsid w:val="005C2E9D"/>
    <w:rsid w:val="006253E6"/>
    <w:rsid w:val="006B190C"/>
    <w:rsid w:val="006D6460"/>
    <w:rsid w:val="00756888"/>
    <w:rsid w:val="007A2D71"/>
    <w:rsid w:val="007F0735"/>
    <w:rsid w:val="007F587F"/>
    <w:rsid w:val="00862799"/>
    <w:rsid w:val="00963393"/>
    <w:rsid w:val="009B3AEA"/>
    <w:rsid w:val="009D2342"/>
    <w:rsid w:val="00A07CCB"/>
    <w:rsid w:val="00A26F25"/>
    <w:rsid w:val="00A50B9B"/>
    <w:rsid w:val="00AC6FB3"/>
    <w:rsid w:val="00AF46B4"/>
    <w:rsid w:val="00AF65B9"/>
    <w:rsid w:val="00B447D6"/>
    <w:rsid w:val="00B53097"/>
    <w:rsid w:val="00B64F3B"/>
    <w:rsid w:val="00B82709"/>
    <w:rsid w:val="00BA556E"/>
    <w:rsid w:val="00C81628"/>
    <w:rsid w:val="00C85582"/>
    <w:rsid w:val="00CE50E6"/>
    <w:rsid w:val="00CF42FC"/>
    <w:rsid w:val="00D4554C"/>
    <w:rsid w:val="00D82429"/>
    <w:rsid w:val="00E456FC"/>
    <w:rsid w:val="00F3090E"/>
    <w:rsid w:val="00F6234D"/>
    <w:rsid w:val="00F766C2"/>
    <w:rsid w:val="00F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1B09-8790-4207-AB2F-E2D10E09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7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62799"/>
    <w:pPr>
      <w:spacing w:after="0" w:line="240" w:lineRule="auto"/>
      <w:ind w:firstLine="454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27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799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paragraph" w:styleId="Caption">
    <w:name w:val="caption"/>
    <w:aliases w:val="Beschriftung abbildung"/>
    <w:basedOn w:val="Normal"/>
    <w:next w:val="Normal"/>
    <w:link w:val="CaptionChar"/>
    <w:uiPriority w:val="35"/>
    <w:unhideWhenUsed/>
    <w:qFormat/>
    <w:rsid w:val="00862799"/>
    <w:pPr>
      <w:spacing w:after="200"/>
    </w:pPr>
    <w:rPr>
      <w:i/>
      <w:iCs/>
      <w:color w:val="44546A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62799"/>
  </w:style>
  <w:style w:type="character" w:customStyle="1" w:styleId="CaptionChar">
    <w:name w:val="Caption Char"/>
    <w:aliases w:val="Beschriftung abbildung Char"/>
    <w:basedOn w:val="DefaultParagraphFont"/>
    <w:link w:val="Caption"/>
    <w:uiPriority w:val="35"/>
    <w:rsid w:val="00862799"/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Susmitha Ramu</dc:creator>
  <cp:keywords/>
  <dc:description/>
  <cp:lastModifiedBy>Susmitha Ramu</cp:lastModifiedBy>
  <cp:revision>1</cp:revision>
  <dcterms:created xsi:type="dcterms:W3CDTF">2023-05-19T09:48:00Z</dcterms:created>
  <dcterms:modified xsi:type="dcterms:W3CDTF">2023-05-19T09:49:00Z</dcterms:modified>
</cp:coreProperties>
</file>