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C38AA" w14:textId="77777777" w:rsidR="0012209B" w:rsidRDefault="0012209B" w:rsidP="0012209B">
      <w:pPr>
        <w:rPr>
          <w:b/>
          <w:lang w:val="en-US"/>
        </w:rPr>
      </w:pPr>
      <w:r>
        <w:rPr>
          <w:lang w:val="en-GB"/>
        </w:rPr>
        <w:t>R</w:t>
      </w:r>
      <w:r w:rsidR="00E53EB2" w:rsidRPr="0012209B">
        <w:rPr>
          <w:lang w:val="en-GB"/>
        </w:rPr>
        <w:t>othmund, Sodergren, Rohde, de Rojas, Paratico, Albini, Mur, Darlington, Majorana, Riedl</w:t>
      </w:r>
      <w:r w:rsidRPr="0012209B">
        <w:rPr>
          <w:lang w:val="en-GB"/>
        </w:rPr>
        <w:t xml:space="preserve">, on behalf of the EORTC Quality of Life Group: </w:t>
      </w:r>
      <w:r>
        <w:rPr>
          <w:sz w:val="24"/>
          <w:lang w:val="en-GB"/>
        </w:rPr>
        <w:br/>
      </w:r>
      <w:r w:rsidRPr="0012209B">
        <w:rPr>
          <w:b/>
          <w:lang w:val="en-US"/>
        </w:rPr>
        <w:t>Updating our Understanding of Health-Related Quality of Life Issues in Children with Cancer: A systematic review of patient-reported outcome measures and qualitative studies.</w:t>
      </w:r>
    </w:p>
    <w:p w14:paraId="16BC01E8" w14:textId="276AEC25" w:rsidR="00E53EB2" w:rsidRPr="0012209B" w:rsidRDefault="0012209B" w:rsidP="0012209B">
      <w:pPr>
        <w:rPr>
          <w:b/>
          <w:lang w:val="en-US"/>
        </w:rPr>
      </w:pPr>
      <w:r w:rsidRPr="00B61595">
        <w:rPr>
          <w:lang w:val="en-GB"/>
        </w:rPr>
        <w:t>Corresponding author: Dr. David Riedl, David.Riedl@i-med.ac.at</w:t>
      </w:r>
      <w:r>
        <w:rPr>
          <w:b/>
          <w:sz w:val="24"/>
          <w:lang w:val="en-US"/>
        </w:rPr>
        <w:br/>
      </w:r>
    </w:p>
    <w:p w14:paraId="22618E2A" w14:textId="56DD8DAE" w:rsidR="007A168A" w:rsidRDefault="007A168A" w:rsidP="007A168A">
      <w:pPr>
        <w:rPr>
          <w:b/>
          <w:lang w:val="en-GB"/>
        </w:rPr>
      </w:pPr>
      <w:r>
        <w:rPr>
          <w:b/>
          <w:lang w:val="en-GB"/>
        </w:rPr>
        <w:t xml:space="preserve">Supplement 2: Categorization Rules </w:t>
      </w:r>
    </w:p>
    <w:p w14:paraId="3D9B6F25" w14:textId="77777777" w:rsidR="007A168A" w:rsidRPr="00E53EB2" w:rsidRDefault="007A168A" w:rsidP="007A168A">
      <w:pPr>
        <w:rPr>
          <w:u w:val="single"/>
          <w:lang w:val="en-US"/>
        </w:rPr>
      </w:pPr>
      <w:r w:rsidRPr="00E53EB2">
        <w:rPr>
          <w:u w:val="single"/>
          <w:lang w:val="en-US"/>
        </w:rPr>
        <w:t>General Rules</w:t>
      </w:r>
    </w:p>
    <w:p w14:paraId="0F03AF84" w14:textId="77777777" w:rsidR="007A168A" w:rsidRDefault="007A168A" w:rsidP="007A168A">
      <w:pPr>
        <w:numPr>
          <w:ilvl w:val="0"/>
          <w:numId w:val="16"/>
        </w:numPr>
        <w:spacing w:line="256" w:lineRule="auto"/>
        <w:rPr>
          <w:lang w:val="en-GB"/>
        </w:rPr>
      </w:pPr>
      <w:r>
        <w:rPr>
          <w:lang w:val="en-US"/>
        </w:rPr>
        <w:t>If the domain and subdomain are clear, but no perfectly matching identifying concept is available, the closest possible option should be selected.</w:t>
      </w:r>
      <w:r>
        <w:rPr>
          <w:lang w:val="en-GB"/>
        </w:rPr>
        <w:t> </w:t>
      </w:r>
    </w:p>
    <w:p w14:paraId="1B7122F6" w14:textId="72FB9488" w:rsidR="007A168A" w:rsidRDefault="007A168A" w:rsidP="007A168A">
      <w:pPr>
        <w:numPr>
          <w:ilvl w:val="0"/>
          <w:numId w:val="16"/>
        </w:numPr>
        <w:spacing w:line="256" w:lineRule="auto"/>
        <w:rPr>
          <w:lang w:val="en-GB"/>
        </w:rPr>
      </w:pPr>
      <w:r>
        <w:rPr>
          <w:lang w:val="en-US"/>
        </w:rPr>
        <w:t>If items</w:t>
      </w:r>
      <w:r w:rsidR="00232E49">
        <w:rPr>
          <w:lang w:val="en-US"/>
        </w:rPr>
        <w:t>/quotations</w:t>
      </w:r>
      <w:r>
        <w:rPr>
          <w:lang w:val="en-US"/>
        </w:rPr>
        <w:t xml:space="preserve"> are more specific than the identifying concept, the closest possible option should be selected. </w:t>
      </w:r>
      <w:r>
        <w:rPr>
          <w:lang w:val="en-US"/>
        </w:rPr>
        <w:br/>
        <w:t>e.g., headaches -&gt; Physical – symptom – pain</w:t>
      </w:r>
      <w:r>
        <w:rPr>
          <w:lang w:val="en-GB"/>
        </w:rPr>
        <w:t> </w:t>
      </w:r>
    </w:p>
    <w:p w14:paraId="5E570032" w14:textId="3E4F4B39" w:rsidR="007A168A" w:rsidRDefault="007A168A" w:rsidP="007A168A">
      <w:pPr>
        <w:numPr>
          <w:ilvl w:val="0"/>
          <w:numId w:val="17"/>
        </w:numPr>
        <w:spacing w:line="256" w:lineRule="auto"/>
        <w:rPr>
          <w:lang w:val="en-GB"/>
        </w:rPr>
      </w:pPr>
      <w:r>
        <w:rPr>
          <w:lang w:val="en-US"/>
        </w:rPr>
        <w:t>If items</w:t>
      </w:r>
      <w:r w:rsidR="00232E49">
        <w:rPr>
          <w:lang w:val="en-US"/>
        </w:rPr>
        <w:t>/quotations</w:t>
      </w:r>
      <w:r>
        <w:rPr>
          <w:lang w:val="en-US"/>
        </w:rPr>
        <w:t xml:space="preserve"> cannot be assigned to an identifying concept, the option ‘Other’ should be selected. </w:t>
      </w:r>
      <w:r>
        <w:rPr>
          <w:lang w:val="en-GB"/>
        </w:rPr>
        <w:t> </w:t>
      </w:r>
    </w:p>
    <w:p w14:paraId="4AAF6D48" w14:textId="701D552E" w:rsidR="007A168A" w:rsidRDefault="007A168A" w:rsidP="007A168A">
      <w:pPr>
        <w:numPr>
          <w:ilvl w:val="1"/>
          <w:numId w:val="17"/>
        </w:numPr>
        <w:spacing w:line="256" w:lineRule="auto"/>
        <w:rPr>
          <w:lang w:val="en-GB"/>
        </w:rPr>
      </w:pPr>
      <w:r>
        <w:rPr>
          <w:lang w:val="en-GB"/>
        </w:rPr>
        <w:t>I</w:t>
      </w:r>
      <w:r>
        <w:rPr>
          <w:lang w:val="en-US"/>
        </w:rPr>
        <w:t>tems</w:t>
      </w:r>
      <w:r w:rsidR="00DE51F5">
        <w:rPr>
          <w:lang w:val="en-US"/>
        </w:rPr>
        <w:t xml:space="preserve">/quotations referring to the </w:t>
      </w:r>
      <w:r>
        <w:rPr>
          <w:lang w:val="en-US"/>
        </w:rPr>
        <w:t>financial situation of the children and their families should</w:t>
      </w:r>
      <w:r>
        <w:rPr>
          <w:lang w:val="en-GB"/>
        </w:rPr>
        <w:t xml:space="preserve"> be categorized as ‘Financial’.</w:t>
      </w:r>
    </w:p>
    <w:p w14:paraId="47004B4E" w14:textId="3B13419F" w:rsidR="007A168A" w:rsidRDefault="007A168A" w:rsidP="007A168A">
      <w:pPr>
        <w:numPr>
          <w:ilvl w:val="0"/>
          <w:numId w:val="17"/>
        </w:numPr>
        <w:spacing w:line="256" w:lineRule="auto"/>
        <w:rPr>
          <w:lang w:val="en-GB"/>
        </w:rPr>
      </w:pPr>
      <w:r>
        <w:rPr>
          <w:lang w:val="en-US"/>
        </w:rPr>
        <w:t>If an item</w:t>
      </w:r>
      <w:r w:rsidR="00DE51F5">
        <w:rPr>
          <w:lang w:val="en-US"/>
        </w:rPr>
        <w:t>/quotation</w:t>
      </w:r>
      <w:r>
        <w:rPr>
          <w:lang w:val="en-US"/>
        </w:rPr>
        <w:t xml:space="preserve"> covers more than one identifying concept of the same subdomain, the predominant one should be selected.</w:t>
      </w:r>
      <w:r>
        <w:rPr>
          <w:lang w:val="en-US"/>
        </w:rPr>
        <w:br/>
        <w:t>e.g. I feel sad, worried or unhappy. -&gt; choose sad</w:t>
      </w:r>
    </w:p>
    <w:p w14:paraId="7155DB9B" w14:textId="31CA5D13" w:rsidR="007A168A" w:rsidRDefault="007A168A" w:rsidP="007A168A">
      <w:pPr>
        <w:numPr>
          <w:ilvl w:val="0"/>
          <w:numId w:val="17"/>
        </w:numPr>
        <w:spacing w:line="256" w:lineRule="auto"/>
        <w:rPr>
          <w:lang w:val="en-GB"/>
        </w:rPr>
      </w:pPr>
      <w:r>
        <w:rPr>
          <w:lang w:val="en-US"/>
        </w:rPr>
        <w:t>For possibly ambiguous items</w:t>
      </w:r>
      <w:r w:rsidR="00DE51F5">
        <w:rPr>
          <w:lang w:val="en-US"/>
        </w:rPr>
        <w:t>/quotations</w:t>
      </w:r>
      <w:r>
        <w:rPr>
          <w:lang w:val="en-US"/>
        </w:rPr>
        <w:t xml:space="preserve"> like pain or strength (mental or physical?), the physical domain/subdomain/concept should be selected.</w:t>
      </w:r>
      <w:bookmarkStart w:id="0" w:name="_GoBack"/>
      <w:bookmarkEnd w:id="0"/>
    </w:p>
    <w:p w14:paraId="05D6B536" w14:textId="3C0A34B8" w:rsidR="007A168A" w:rsidRDefault="007A168A" w:rsidP="007A168A">
      <w:pPr>
        <w:numPr>
          <w:ilvl w:val="0"/>
          <w:numId w:val="18"/>
        </w:numPr>
        <w:spacing w:line="256" w:lineRule="auto"/>
        <w:rPr>
          <w:lang w:val="en-GB"/>
        </w:rPr>
      </w:pPr>
      <w:r>
        <w:rPr>
          <w:lang w:val="en-US"/>
        </w:rPr>
        <w:t>There are items</w:t>
      </w:r>
      <w:r w:rsidR="00DE51F5">
        <w:rPr>
          <w:lang w:val="en-US"/>
        </w:rPr>
        <w:t>/quotations</w:t>
      </w:r>
      <w:r w:rsidR="00B75324">
        <w:rPr>
          <w:lang w:val="en-US"/>
        </w:rPr>
        <w:t xml:space="preserve"> on</w:t>
      </w:r>
      <w:r>
        <w:rPr>
          <w:lang w:val="en-US"/>
        </w:rPr>
        <w:t xml:space="preserve"> cognitive functioning that don’t </w:t>
      </w:r>
      <w:r w:rsidR="00B75324">
        <w:rPr>
          <w:lang w:val="en-US"/>
        </w:rPr>
        <w:t>refer to</w:t>
      </w:r>
      <w:r>
        <w:rPr>
          <w:lang w:val="en-US"/>
        </w:rPr>
        <w:t xml:space="preserve"> one of the specific identifying concepts (i.e., Attention, Learning, Remembering, Problem-Solving etc.), but schoolwork in general. In this case choose “General”.</w:t>
      </w:r>
      <w:r>
        <w:rPr>
          <w:lang w:val="en-US"/>
        </w:rPr>
        <w:br/>
        <w:t>e.g., I have trouble with my schoolwork -&gt; choose “General”</w:t>
      </w:r>
    </w:p>
    <w:p w14:paraId="2971635C" w14:textId="6BC4D70C" w:rsidR="007A168A" w:rsidRDefault="007A168A" w:rsidP="007A168A">
      <w:pPr>
        <w:rPr>
          <w:u w:val="single"/>
          <w:lang w:val="en-GB"/>
        </w:rPr>
      </w:pPr>
      <w:r>
        <w:rPr>
          <w:bCs/>
          <w:u w:val="single"/>
          <w:lang w:val="en-US"/>
        </w:rPr>
        <w:t>Interfer</w:t>
      </w:r>
      <w:r w:rsidR="00CF34B9">
        <w:rPr>
          <w:bCs/>
          <w:u w:val="single"/>
          <w:lang w:val="en-US"/>
        </w:rPr>
        <w:t>ing issues</w:t>
      </w:r>
    </w:p>
    <w:p w14:paraId="7DFD9C35" w14:textId="59A1CE11" w:rsidR="007A168A" w:rsidRDefault="007A168A" w:rsidP="007A168A">
      <w:pPr>
        <w:rPr>
          <w:lang w:val="en-GB"/>
        </w:rPr>
      </w:pPr>
      <w:r>
        <w:rPr>
          <w:lang w:val="en-US"/>
        </w:rPr>
        <w:t>i.e., items</w:t>
      </w:r>
      <w:r w:rsidR="00B75324">
        <w:rPr>
          <w:lang w:val="en-US"/>
        </w:rPr>
        <w:t xml:space="preserve">/quotations referring to </w:t>
      </w:r>
      <w:r>
        <w:rPr>
          <w:lang w:val="en-US"/>
        </w:rPr>
        <w:t xml:space="preserve">connected aspects, e.g. “I can’t sleep </w:t>
      </w:r>
      <w:r>
        <w:rPr>
          <w:i/>
          <w:iCs/>
          <w:lang w:val="en-US"/>
        </w:rPr>
        <w:t>(=effect)</w:t>
      </w:r>
      <w:r>
        <w:rPr>
          <w:lang w:val="en-US"/>
        </w:rPr>
        <w:t xml:space="preserve"> because I have pain </w:t>
      </w:r>
      <w:r>
        <w:rPr>
          <w:i/>
          <w:iCs/>
          <w:lang w:val="en-US"/>
        </w:rPr>
        <w:t>(=cause)</w:t>
      </w:r>
      <w:r>
        <w:rPr>
          <w:lang w:val="en-US"/>
        </w:rPr>
        <w:t>”</w:t>
      </w:r>
      <w:r>
        <w:rPr>
          <w:lang w:val="en-GB"/>
        </w:rPr>
        <w:t> </w:t>
      </w:r>
    </w:p>
    <w:p w14:paraId="055E8AA7" w14:textId="77777777" w:rsidR="007A168A" w:rsidRDefault="007A168A" w:rsidP="007A168A">
      <w:pPr>
        <w:numPr>
          <w:ilvl w:val="0"/>
          <w:numId w:val="19"/>
        </w:numPr>
        <w:spacing w:line="256" w:lineRule="auto"/>
        <w:rPr>
          <w:lang w:val="en-US"/>
        </w:rPr>
      </w:pPr>
      <w:r>
        <w:rPr>
          <w:lang w:val="en-US"/>
        </w:rPr>
        <w:t>If the cause is either a symptom, emotional distress or cognitive functioning, the cause should be rated.</w:t>
      </w:r>
      <w:r>
        <w:rPr>
          <w:lang w:val="en-GB"/>
        </w:rPr>
        <w:t> </w:t>
      </w:r>
      <w:r>
        <w:rPr>
          <w:lang w:val="en-US"/>
        </w:rPr>
        <w:br/>
        <w:t>e.g., I can’t sleep (</w:t>
      </w:r>
      <w:r>
        <w:rPr>
          <w:i/>
          <w:iCs/>
          <w:u w:val="single"/>
          <w:lang w:val="en-US"/>
        </w:rPr>
        <w:t>=effect</w:t>
      </w:r>
      <w:r>
        <w:rPr>
          <w:lang w:val="en-US"/>
        </w:rPr>
        <w:t>) because I have pain (</w:t>
      </w:r>
      <w:r>
        <w:rPr>
          <w:i/>
          <w:iCs/>
          <w:u w:val="single"/>
          <w:lang w:val="en-US"/>
        </w:rPr>
        <w:t>=cause</w:t>
      </w:r>
      <w:r>
        <w:rPr>
          <w:lang w:val="en-US"/>
        </w:rPr>
        <w:t xml:space="preserve">). </w:t>
      </w:r>
      <w:r>
        <w:rPr>
          <w:lang w:val="en-US"/>
        </w:rPr>
        <w:br/>
      </w:r>
      <w:r>
        <w:rPr>
          <w:lang w:val="en-US"/>
        </w:rPr>
        <w:sym w:font="Wingdings" w:char="F0E0"/>
      </w:r>
      <w:r>
        <w:rPr>
          <w:lang w:val="en-US"/>
        </w:rPr>
        <w:t xml:space="preserve"> Cause = physical health – symptom – pain </w:t>
      </w:r>
      <w:r>
        <w:rPr>
          <w:lang w:val="en-GB"/>
        </w:rPr>
        <w:t> </w:t>
      </w:r>
      <w:r>
        <w:rPr>
          <w:lang w:val="en-US"/>
        </w:rPr>
        <w:br/>
        <w:t xml:space="preserve">e.g., Is your pain </w:t>
      </w:r>
      <w:r>
        <w:rPr>
          <w:i/>
          <w:iCs/>
          <w:u w:val="single"/>
          <w:lang w:val="en-US"/>
        </w:rPr>
        <w:t>(=cause)</w:t>
      </w:r>
      <w:r>
        <w:rPr>
          <w:lang w:val="en-US"/>
        </w:rPr>
        <w:t xml:space="preserve"> bothering you </w:t>
      </w:r>
      <w:r>
        <w:rPr>
          <w:i/>
          <w:iCs/>
          <w:u w:val="single"/>
          <w:lang w:val="en-US"/>
        </w:rPr>
        <w:t>(=effect)</w:t>
      </w:r>
      <w:r>
        <w:rPr>
          <w:lang w:val="en-US"/>
        </w:rPr>
        <w:t xml:space="preserve">? </w:t>
      </w:r>
      <w:r>
        <w:rPr>
          <w:lang w:val="en-US"/>
        </w:rPr>
        <w:br/>
      </w:r>
      <w:r>
        <w:rPr>
          <w:lang w:val="en-US"/>
        </w:rPr>
        <w:sym w:font="Wingdings" w:char="F0E0"/>
      </w:r>
      <w:r>
        <w:rPr>
          <w:lang w:val="en-US"/>
        </w:rPr>
        <w:t xml:space="preserve"> Cause = physical health – symptom – pain  </w:t>
      </w:r>
    </w:p>
    <w:p w14:paraId="16F9E3A4" w14:textId="77777777" w:rsidR="007A168A" w:rsidRDefault="007A168A" w:rsidP="007A168A">
      <w:pPr>
        <w:numPr>
          <w:ilvl w:val="0"/>
          <w:numId w:val="19"/>
        </w:numPr>
        <w:spacing w:line="256" w:lineRule="auto"/>
        <w:rPr>
          <w:lang w:val="en-GB"/>
        </w:rPr>
      </w:pPr>
      <w:r>
        <w:rPr>
          <w:lang w:val="en-US"/>
        </w:rPr>
        <w:t xml:space="preserve">If the cause is the disease or treatment in general, the effect should be rated. </w:t>
      </w:r>
      <w:r>
        <w:rPr>
          <w:lang w:val="en-GB"/>
        </w:rPr>
        <w:t> </w:t>
      </w:r>
      <w:r>
        <w:rPr>
          <w:lang w:val="en-US"/>
        </w:rPr>
        <w:br/>
        <w:t>e.g., Does your health (</w:t>
      </w:r>
      <w:r>
        <w:rPr>
          <w:i/>
          <w:iCs/>
          <w:u w:val="single"/>
          <w:lang w:val="en-US"/>
        </w:rPr>
        <w:t>=cause</w:t>
      </w:r>
      <w:r>
        <w:rPr>
          <w:lang w:val="en-US"/>
        </w:rPr>
        <w:t>) now limit you in... bending, kneeling, or stooping (</w:t>
      </w:r>
      <w:r>
        <w:rPr>
          <w:i/>
          <w:iCs/>
          <w:u w:val="single"/>
          <w:lang w:val="en-US"/>
        </w:rPr>
        <w:t>=effect</w:t>
      </w:r>
      <w:r>
        <w:rPr>
          <w:lang w:val="en-US"/>
        </w:rPr>
        <w:t xml:space="preserve">)? </w:t>
      </w:r>
      <w:r>
        <w:rPr>
          <w:lang w:val="en-US"/>
        </w:rPr>
        <w:br/>
      </w:r>
      <w:r>
        <w:rPr>
          <w:lang w:val="en-US"/>
        </w:rPr>
        <w:sym w:font="Wingdings" w:char="F0E0"/>
      </w:r>
      <w:r>
        <w:rPr>
          <w:lang w:val="en-US"/>
        </w:rPr>
        <w:t xml:space="preserve"> Effect = Physical health – physical function – physical activity</w:t>
      </w:r>
      <w:r>
        <w:rPr>
          <w:lang w:val="en-GB"/>
        </w:rPr>
        <w:t> </w:t>
      </w:r>
    </w:p>
    <w:p w14:paraId="0B9EBC2F" w14:textId="77777777" w:rsidR="007A168A" w:rsidRDefault="007A168A" w:rsidP="007A168A">
      <w:pPr>
        <w:rPr>
          <w:u w:val="single"/>
          <w:lang w:val="en-GB"/>
        </w:rPr>
      </w:pPr>
      <w:r>
        <w:rPr>
          <w:u w:val="single"/>
          <w:lang w:val="en-GB"/>
        </w:rPr>
        <w:t>In case of uncertainty</w:t>
      </w:r>
    </w:p>
    <w:p w14:paraId="47734CAE" w14:textId="3F71B91C" w:rsidR="00A3194D" w:rsidRPr="0012209B" w:rsidRDefault="00D72447" w:rsidP="00CF5A6E">
      <w:pPr>
        <w:numPr>
          <w:ilvl w:val="0"/>
          <w:numId w:val="20"/>
        </w:numPr>
        <w:spacing w:line="256" w:lineRule="auto"/>
        <w:rPr>
          <w:lang w:val="en-US"/>
        </w:rPr>
      </w:pPr>
      <w:r>
        <w:rPr>
          <w:lang w:val="en-US"/>
        </w:rPr>
        <w:t>In a separate column, r</w:t>
      </w:r>
      <w:r w:rsidR="007A168A">
        <w:rPr>
          <w:lang w:val="en-US"/>
        </w:rPr>
        <w:t>aters have the option to comment on each item</w:t>
      </w:r>
      <w:r w:rsidR="00ED1E9B">
        <w:rPr>
          <w:lang w:val="en-US"/>
        </w:rPr>
        <w:t>/quotation</w:t>
      </w:r>
      <w:r w:rsidR="00CF5A6E">
        <w:rPr>
          <w:lang w:val="en-US"/>
        </w:rPr>
        <w:t xml:space="preserve">, to </w:t>
      </w:r>
      <w:r w:rsidR="007A168A">
        <w:rPr>
          <w:lang w:val="en-US"/>
        </w:rPr>
        <w:t>note questions</w:t>
      </w:r>
      <w:r w:rsidR="00CF5A6E">
        <w:rPr>
          <w:lang w:val="en-US"/>
        </w:rPr>
        <w:t>, and to suggest additional categories.</w:t>
      </w:r>
    </w:p>
    <w:sectPr w:rsidR="00A3194D" w:rsidRPr="0012209B" w:rsidSect="0012209B">
      <w:footerReference w:type="default" r:id="rId8"/>
      <w:pgSz w:w="11906" w:h="16838"/>
      <w:pgMar w:top="1134" w:right="1418" w:bottom="1134" w:left="1418" w:header="567" w:footer="567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81FCC" w14:textId="77777777" w:rsidR="00CF5A6E" w:rsidRDefault="00CF5A6E" w:rsidP="00852223">
      <w:pPr>
        <w:spacing w:after="0" w:line="240" w:lineRule="auto"/>
      </w:pPr>
      <w:r>
        <w:separator/>
      </w:r>
    </w:p>
  </w:endnote>
  <w:endnote w:type="continuationSeparator" w:id="0">
    <w:p w14:paraId="1008FABF" w14:textId="77777777" w:rsidR="00CF5A6E" w:rsidRDefault="00CF5A6E" w:rsidP="0085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AE410" w14:textId="3B776253" w:rsidR="00CF5A6E" w:rsidRPr="00256C73" w:rsidRDefault="00CF5A6E" w:rsidP="00256C73">
    <w:pPr>
      <w:pStyle w:val="Fuzeile"/>
      <w:rPr>
        <w:color w:val="BFBFBF" w:themeColor="background1" w:themeShade="BF"/>
        <w:lang w:val="en-GB"/>
      </w:rPr>
    </w:pPr>
    <w:r w:rsidRPr="00A33FF9">
      <w:rPr>
        <w:i/>
        <w:color w:val="BFBFBF" w:themeColor="background1" w:themeShade="BF"/>
        <w:sz w:val="20"/>
        <w:lang w:val="en-GB"/>
      </w:rPr>
      <w:t xml:space="preserve">Rothmund, Sodergren, Rohde, de Rojas, Paratico, Albini, Mur, Darlington, Majorana, Riedl (2022): </w:t>
    </w:r>
    <w:r w:rsidRPr="00A33FF9">
      <w:rPr>
        <w:i/>
        <w:color w:val="BFBFBF" w:themeColor="background1" w:themeShade="BF"/>
        <w:sz w:val="20"/>
        <w:lang w:val="en-GB"/>
      </w:rPr>
      <w:br/>
      <w:t xml:space="preserve">Systematic Review of Health-related quality of life issues in children with </w:t>
    </w:r>
    <w:r w:rsidRPr="007320B3">
      <w:rPr>
        <w:i/>
        <w:color w:val="BFBFBF" w:themeColor="background1" w:themeShade="BF"/>
        <w:sz w:val="20"/>
        <w:lang w:val="en-GB"/>
      </w:rPr>
      <w:t>cancer</w:t>
    </w:r>
    <w:r w:rsidRPr="007320B3">
      <w:rPr>
        <w:color w:val="BFBFBF" w:themeColor="background1" w:themeShade="BF"/>
        <w:lang w:val="en-GB"/>
      </w:rPr>
      <w:t xml:space="preserve"> </w:t>
    </w:r>
    <w:sdt>
      <w:sdtPr>
        <w:rPr>
          <w:color w:val="BFBFBF" w:themeColor="background1" w:themeShade="BF"/>
        </w:rPr>
        <w:id w:val="189037565"/>
        <w:docPartObj>
          <w:docPartGallery w:val="Page Numbers (Bottom of Page)"/>
          <w:docPartUnique/>
        </w:docPartObj>
      </w:sdtPr>
      <w:sdtEndPr/>
      <w:sdtContent>
        <w:r w:rsidRPr="00256C73">
          <w:rPr>
            <w:color w:val="BFBFBF" w:themeColor="background1" w:themeShade="BF"/>
            <w:lang w:val="en-GB"/>
          </w:rPr>
          <w:tab/>
        </w:r>
        <w:r w:rsidRPr="007320B3">
          <w:rPr>
            <w:color w:val="BFBFBF" w:themeColor="background1" w:themeShade="BF"/>
          </w:rPr>
          <w:fldChar w:fldCharType="begin"/>
        </w:r>
        <w:r w:rsidRPr="007320B3">
          <w:rPr>
            <w:color w:val="BFBFBF" w:themeColor="background1" w:themeShade="BF"/>
            <w:lang w:val="en-GB"/>
          </w:rPr>
          <w:instrText>PAGE   \* MERGEFORMAT</w:instrText>
        </w:r>
        <w:r w:rsidRPr="007320B3">
          <w:rPr>
            <w:color w:val="BFBFBF" w:themeColor="background1" w:themeShade="BF"/>
          </w:rPr>
          <w:fldChar w:fldCharType="separate"/>
        </w:r>
        <w:r w:rsidR="0012209B">
          <w:rPr>
            <w:noProof/>
            <w:color w:val="BFBFBF" w:themeColor="background1" w:themeShade="BF"/>
            <w:lang w:val="en-GB"/>
          </w:rPr>
          <w:t>7</w:t>
        </w:r>
        <w:r w:rsidRPr="007320B3">
          <w:rPr>
            <w:color w:val="BFBFBF" w:themeColor="background1" w:themeShade="BF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A30D6" w14:textId="77777777" w:rsidR="00CF5A6E" w:rsidRDefault="00CF5A6E" w:rsidP="00852223">
      <w:pPr>
        <w:spacing w:after="0" w:line="240" w:lineRule="auto"/>
      </w:pPr>
      <w:r>
        <w:separator/>
      </w:r>
    </w:p>
  </w:footnote>
  <w:footnote w:type="continuationSeparator" w:id="0">
    <w:p w14:paraId="174F14BB" w14:textId="77777777" w:rsidR="00CF5A6E" w:rsidRDefault="00CF5A6E" w:rsidP="00852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861"/>
    <w:multiLevelType w:val="multilevel"/>
    <w:tmpl w:val="2ED6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8800B8"/>
    <w:multiLevelType w:val="multilevel"/>
    <w:tmpl w:val="6D56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052FA8"/>
    <w:multiLevelType w:val="multilevel"/>
    <w:tmpl w:val="FB1C14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0191EAE"/>
    <w:multiLevelType w:val="multilevel"/>
    <w:tmpl w:val="706C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C26495"/>
    <w:multiLevelType w:val="multilevel"/>
    <w:tmpl w:val="04F8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936B2C"/>
    <w:multiLevelType w:val="multilevel"/>
    <w:tmpl w:val="9EC4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4E63CF"/>
    <w:multiLevelType w:val="multilevel"/>
    <w:tmpl w:val="9466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8E2DA3"/>
    <w:multiLevelType w:val="multilevel"/>
    <w:tmpl w:val="27BE28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FB37A43"/>
    <w:multiLevelType w:val="multilevel"/>
    <w:tmpl w:val="67D26D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D364E79"/>
    <w:multiLevelType w:val="multilevel"/>
    <w:tmpl w:val="A030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9916EE"/>
    <w:multiLevelType w:val="multilevel"/>
    <w:tmpl w:val="B14A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FE5E64"/>
    <w:multiLevelType w:val="multilevel"/>
    <w:tmpl w:val="FF58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1A07A42"/>
    <w:multiLevelType w:val="multilevel"/>
    <w:tmpl w:val="2558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805FF2"/>
    <w:multiLevelType w:val="multilevel"/>
    <w:tmpl w:val="2D38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AC7E23"/>
    <w:multiLevelType w:val="multilevel"/>
    <w:tmpl w:val="C1E0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0F59B3"/>
    <w:multiLevelType w:val="multilevel"/>
    <w:tmpl w:val="F73E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3"/>
  </w:num>
  <w:num w:numId="5">
    <w:abstractNumId w:val="12"/>
  </w:num>
  <w:num w:numId="6">
    <w:abstractNumId w:val="14"/>
  </w:num>
  <w:num w:numId="7">
    <w:abstractNumId w:val="13"/>
  </w:num>
  <w:num w:numId="8">
    <w:abstractNumId w:val="1"/>
  </w:num>
  <w:num w:numId="9">
    <w:abstractNumId w:val="11"/>
  </w:num>
  <w:num w:numId="10">
    <w:abstractNumId w:val="0"/>
  </w:num>
  <w:num w:numId="11">
    <w:abstractNumId w:val="5"/>
  </w:num>
  <w:num w:numId="12">
    <w:abstractNumId w:val="9"/>
  </w:num>
  <w:num w:numId="13">
    <w:abstractNumId w:val="2"/>
  </w:num>
  <w:num w:numId="14">
    <w:abstractNumId w:val="8"/>
  </w:num>
  <w:num w:numId="15">
    <w:abstractNumId w:val="15"/>
  </w:num>
  <w:num w:numId="16">
    <w:abstractNumId w:val="4"/>
  </w:num>
  <w:num w:numId="17">
    <w:abstractNumId w:val="10"/>
  </w:num>
  <w:num w:numId="18">
    <w:abstractNumId w:val="7"/>
  </w:num>
  <w:num w:numId="19">
    <w:abstractNumId w:val="12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23"/>
    <w:rsid w:val="00072CB8"/>
    <w:rsid w:val="000917D3"/>
    <w:rsid w:val="000F62DA"/>
    <w:rsid w:val="0012209B"/>
    <w:rsid w:val="00194F71"/>
    <w:rsid w:val="002000C2"/>
    <w:rsid w:val="00212C40"/>
    <w:rsid w:val="002300D4"/>
    <w:rsid w:val="00232E49"/>
    <w:rsid w:val="00256C73"/>
    <w:rsid w:val="002C6681"/>
    <w:rsid w:val="002D6C04"/>
    <w:rsid w:val="002D7795"/>
    <w:rsid w:val="00344D9F"/>
    <w:rsid w:val="0035418D"/>
    <w:rsid w:val="00366162"/>
    <w:rsid w:val="00366C20"/>
    <w:rsid w:val="003B18A5"/>
    <w:rsid w:val="003C3522"/>
    <w:rsid w:val="004A5BC6"/>
    <w:rsid w:val="0050535D"/>
    <w:rsid w:val="005642FE"/>
    <w:rsid w:val="00594103"/>
    <w:rsid w:val="00650A9E"/>
    <w:rsid w:val="00650B5C"/>
    <w:rsid w:val="006A042C"/>
    <w:rsid w:val="007320B3"/>
    <w:rsid w:val="0078648F"/>
    <w:rsid w:val="007A168A"/>
    <w:rsid w:val="00800C99"/>
    <w:rsid w:val="00852223"/>
    <w:rsid w:val="00882767"/>
    <w:rsid w:val="009C7748"/>
    <w:rsid w:val="00A3194D"/>
    <w:rsid w:val="00A33FF9"/>
    <w:rsid w:val="00A95765"/>
    <w:rsid w:val="00AC1451"/>
    <w:rsid w:val="00AF38F4"/>
    <w:rsid w:val="00B61595"/>
    <w:rsid w:val="00B75324"/>
    <w:rsid w:val="00C91DA9"/>
    <w:rsid w:val="00CA23ED"/>
    <w:rsid w:val="00CF34B9"/>
    <w:rsid w:val="00CF5199"/>
    <w:rsid w:val="00CF5A6E"/>
    <w:rsid w:val="00D60C5D"/>
    <w:rsid w:val="00D72447"/>
    <w:rsid w:val="00DE51F5"/>
    <w:rsid w:val="00DF61F3"/>
    <w:rsid w:val="00E01634"/>
    <w:rsid w:val="00E36A03"/>
    <w:rsid w:val="00E53EB2"/>
    <w:rsid w:val="00ED1E9B"/>
    <w:rsid w:val="00EF22FB"/>
    <w:rsid w:val="00F57954"/>
    <w:rsid w:val="0EA28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5C745"/>
  <w15:chartTrackingRefBased/>
  <w15:docId w15:val="{0CBFBEB9-3046-47B2-A8D8-FC126975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2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52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2223"/>
  </w:style>
  <w:style w:type="paragraph" w:styleId="Fuzeile">
    <w:name w:val="footer"/>
    <w:basedOn w:val="Standard"/>
    <w:link w:val="FuzeileZchn"/>
    <w:uiPriority w:val="99"/>
    <w:unhideWhenUsed/>
    <w:rsid w:val="00852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2223"/>
  </w:style>
  <w:style w:type="paragraph" w:styleId="Listenabsatz">
    <w:name w:val="List Paragraph"/>
    <w:basedOn w:val="Standard"/>
    <w:uiPriority w:val="34"/>
    <w:qFormat/>
    <w:rsid w:val="007A168A"/>
    <w:pPr>
      <w:ind w:left="720"/>
      <w:contextualSpacing/>
    </w:pPr>
  </w:style>
  <w:style w:type="table" w:styleId="EinfacheTabelle3">
    <w:name w:val="Plain Table 3"/>
    <w:basedOn w:val="NormaleTabelle"/>
    <w:uiPriority w:val="43"/>
    <w:rsid w:val="003661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erarbeitung">
    <w:name w:val="Revision"/>
    <w:hidden/>
    <w:uiPriority w:val="99"/>
    <w:semiHidden/>
    <w:rsid w:val="00232E4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59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615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40F1C4D-FF4C-40FB-A24E-CDCE5B6A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tirol-kliniken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ROTHMUND Maria-Sophie</dc:creator>
  <cp:keywords/>
  <dc:description/>
  <cp:lastModifiedBy>ROTHMUND Maria-Sophie</cp:lastModifiedBy>
  <cp:revision>3</cp:revision>
  <dcterms:created xsi:type="dcterms:W3CDTF">2022-08-03T10:29:00Z</dcterms:created>
  <dcterms:modified xsi:type="dcterms:W3CDTF">2022-08-03T10:30:00Z</dcterms:modified>
</cp:coreProperties>
</file>