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8827" w14:textId="77777777" w:rsidR="00977FF8" w:rsidRPr="00185DAF" w:rsidRDefault="00977FF8" w:rsidP="00977FF8">
      <w:pPr>
        <w:jc w:val="center"/>
        <w:rPr>
          <w:rFonts w:ascii="Times New Roman" w:hAnsi="Times New Roman" w:cs="Times New Roman"/>
          <w:b/>
          <w:sz w:val="24"/>
          <w:szCs w:val="24"/>
          <w:lang w:val="en-US"/>
        </w:rPr>
      </w:pPr>
      <w:r w:rsidRPr="00185DAF">
        <w:rPr>
          <w:rFonts w:ascii="Times New Roman" w:hAnsi="Times New Roman" w:cs="Times New Roman"/>
          <w:b/>
          <w:sz w:val="24"/>
          <w:szCs w:val="24"/>
          <w:lang w:val="en-US"/>
        </w:rPr>
        <w:t xml:space="preserve">Supplementary </w:t>
      </w:r>
      <w:r>
        <w:rPr>
          <w:rFonts w:ascii="Times New Roman" w:hAnsi="Times New Roman" w:cs="Times New Roman"/>
          <w:b/>
          <w:sz w:val="24"/>
          <w:szCs w:val="24"/>
          <w:lang w:val="en-US"/>
        </w:rPr>
        <w:t>F</w:t>
      </w:r>
      <w:r w:rsidRPr="00185DAF">
        <w:rPr>
          <w:rFonts w:ascii="Times New Roman" w:hAnsi="Times New Roman" w:cs="Times New Roman"/>
          <w:b/>
          <w:sz w:val="24"/>
          <w:szCs w:val="24"/>
          <w:lang w:val="en-US"/>
        </w:rPr>
        <w:t>ile</w:t>
      </w:r>
    </w:p>
    <w:p w14:paraId="3D928194" w14:textId="032AFD82" w:rsidR="00AE37D1" w:rsidRDefault="00AE37D1" w:rsidP="00AE37D1">
      <w:pPr>
        <w:jc w:val="both"/>
        <w:rPr>
          <w:rFonts w:ascii="Times New Roman" w:eastAsia="Batang" w:hAnsi="Times New Roman" w:cs="Times New Roman"/>
          <w:sz w:val="24"/>
          <w:szCs w:val="24"/>
          <w:lang w:val="en-US"/>
        </w:rPr>
      </w:pPr>
      <w:r>
        <w:rPr>
          <w:rFonts w:ascii="Times New Roman" w:eastAsia="Batang" w:hAnsi="Times New Roman"/>
          <w:b/>
          <w:sz w:val="24"/>
          <w:szCs w:val="24"/>
          <w:lang w:val="en-US"/>
        </w:rPr>
        <w:t>S</w:t>
      </w:r>
      <w:r w:rsidR="00D15E6F">
        <w:rPr>
          <w:rFonts w:ascii="Times New Roman" w:eastAsia="Batang" w:hAnsi="Times New Roman"/>
          <w:b/>
          <w:sz w:val="24"/>
          <w:szCs w:val="24"/>
          <w:lang w:val="en-US"/>
        </w:rPr>
        <w:t>1</w:t>
      </w:r>
      <w:r>
        <w:rPr>
          <w:rFonts w:ascii="Times New Roman" w:eastAsia="Batang" w:hAnsi="Times New Roman"/>
          <w:b/>
          <w:sz w:val="24"/>
          <w:szCs w:val="24"/>
          <w:lang w:val="en-US"/>
        </w:rPr>
        <w:t xml:space="preserve">. Quality of life measurement. </w:t>
      </w:r>
      <w:r>
        <w:rPr>
          <w:rFonts w:ascii="Times New Roman" w:eastAsia="Batang" w:hAnsi="Times New Roman"/>
          <w:sz w:val="24"/>
          <w:szCs w:val="24"/>
          <w:lang w:val="en-US"/>
        </w:rPr>
        <w:t xml:space="preserve">The WHOQOL-BREF is a shorten version of the </w:t>
      </w:r>
      <w:r w:rsidRPr="00187B15">
        <w:rPr>
          <w:rFonts w:ascii="Times New Roman" w:eastAsia="Batang" w:hAnsi="Times New Roman"/>
          <w:sz w:val="24"/>
          <w:szCs w:val="24"/>
          <w:lang w:val="en-US"/>
        </w:rPr>
        <w:t>WHOQOL-100.</w:t>
      </w:r>
      <w:r>
        <w:rPr>
          <w:rFonts w:ascii="Times New Roman" w:eastAsia="Batang" w:hAnsi="Times New Roman"/>
          <w:b/>
          <w:sz w:val="24"/>
          <w:szCs w:val="24"/>
          <w:lang w:val="en-US"/>
        </w:rPr>
        <w:t xml:space="preserve"> </w:t>
      </w:r>
      <w:r>
        <w:rPr>
          <w:rFonts w:ascii="Times New Roman" w:eastAsia="Batang" w:hAnsi="Times New Roman"/>
          <w:sz w:val="24"/>
          <w:szCs w:val="24"/>
          <w:lang w:val="en-US"/>
        </w:rPr>
        <w:t>This brief version assesses quality of life in four principal domains: physical health, psychological, social relationships and environment. The questionnaire is made up of 26 questions; the first two questions ask for the overall quality of life and general health; the other 24 questions make up the domains. Domain scores are scaled in a positive direction</w:t>
      </w:r>
      <w:r>
        <w:rPr>
          <w:rFonts w:ascii="Times New Roman" w:eastAsia="Batang" w:hAnsi="Times New Roman" w:cs="Times New Roman"/>
          <w:sz w:val="24"/>
          <w:szCs w:val="24"/>
          <w:lang w:val="en-US"/>
        </w:rPr>
        <w:t>. The WHOQOL-BREF domain’s scores can be interpreted in two manners: converting them to a 4-20 scale or to a 0-100. For this study, scores were converted to the second scale. The following are the evaluated aspects in each domain and can be found in:</w:t>
      </w:r>
    </w:p>
    <w:tbl>
      <w:tblPr>
        <w:tblStyle w:val="Tablaconcuadrcula"/>
        <w:tblW w:w="9209" w:type="dxa"/>
        <w:tblLook w:val="04A0" w:firstRow="1" w:lastRow="0" w:firstColumn="1" w:lastColumn="0" w:noHBand="0" w:noVBand="1"/>
      </w:tblPr>
      <w:tblGrid>
        <w:gridCol w:w="4531"/>
        <w:gridCol w:w="4678"/>
      </w:tblGrid>
      <w:tr w:rsidR="00AE37D1" w14:paraId="6B1DE817" w14:textId="77777777" w:rsidTr="0030517A">
        <w:tc>
          <w:tcPr>
            <w:tcW w:w="4531" w:type="dxa"/>
            <w:vAlign w:val="center"/>
          </w:tcPr>
          <w:p w14:paraId="3881EC79" w14:textId="77777777" w:rsidR="00AE37D1" w:rsidRPr="002B5C75" w:rsidRDefault="00AE37D1" w:rsidP="0030517A">
            <w:pPr>
              <w:jc w:val="center"/>
              <w:rPr>
                <w:rFonts w:ascii="Times New Roman" w:eastAsia="Batang" w:hAnsi="Times New Roman"/>
                <w:sz w:val="20"/>
                <w:szCs w:val="20"/>
                <w:lang w:val="en-US"/>
              </w:rPr>
            </w:pPr>
            <w:r w:rsidRPr="002B5C75">
              <w:rPr>
                <w:rFonts w:ascii="Times New Roman" w:eastAsia="Batang" w:hAnsi="Times New Roman"/>
                <w:b/>
                <w:sz w:val="20"/>
                <w:szCs w:val="20"/>
                <w:lang w:val="en-US"/>
              </w:rPr>
              <w:t>Domain</w:t>
            </w:r>
          </w:p>
        </w:tc>
        <w:tc>
          <w:tcPr>
            <w:tcW w:w="4678" w:type="dxa"/>
            <w:vAlign w:val="center"/>
          </w:tcPr>
          <w:p w14:paraId="6B59B266" w14:textId="77777777" w:rsidR="00AE37D1" w:rsidRPr="002B5C75" w:rsidRDefault="00AE37D1" w:rsidP="0030517A">
            <w:pPr>
              <w:jc w:val="center"/>
              <w:rPr>
                <w:rFonts w:ascii="Times New Roman" w:eastAsia="Batang" w:hAnsi="Times New Roman"/>
                <w:b/>
                <w:sz w:val="20"/>
                <w:szCs w:val="20"/>
                <w:lang w:val="en-US"/>
              </w:rPr>
            </w:pPr>
            <w:r w:rsidRPr="002B5C75">
              <w:rPr>
                <w:rFonts w:ascii="Times New Roman" w:eastAsia="Batang" w:hAnsi="Times New Roman"/>
                <w:b/>
                <w:sz w:val="20"/>
                <w:szCs w:val="20"/>
                <w:lang w:val="en-US"/>
              </w:rPr>
              <w:t>Facets incorporated within domains</w:t>
            </w:r>
          </w:p>
        </w:tc>
      </w:tr>
      <w:tr w:rsidR="00AE37D1" w:rsidRPr="00D15E6F" w14:paraId="65063BD5" w14:textId="77777777" w:rsidTr="0030517A">
        <w:tc>
          <w:tcPr>
            <w:tcW w:w="4531" w:type="dxa"/>
          </w:tcPr>
          <w:p w14:paraId="755DB011" w14:textId="77777777" w:rsidR="00AE37D1" w:rsidRPr="002B5C75" w:rsidRDefault="00AE37D1" w:rsidP="0030517A">
            <w:pPr>
              <w:pStyle w:val="Prrafodelista"/>
              <w:numPr>
                <w:ilvl w:val="0"/>
                <w:numId w:val="1"/>
              </w:numPr>
              <w:jc w:val="both"/>
              <w:rPr>
                <w:rFonts w:ascii="Times New Roman" w:eastAsia="Batang" w:hAnsi="Times New Roman"/>
                <w:sz w:val="20"/>
                <w:szCs w:val="20"/>
                <w:lang w:val="en-US"/>
              </w:rPr>
            </w:pPr>
            <w:r w:rsidRPr="002B5C75">
              <w:rPr>
                <w:rFonts w:ascii="Times New Roman" w:eastAsia="Batang" w:hAnsi="Times New Roman"/>
                <w:sz w:val="20"/>
                <w:szCs w:val="20"/>
                <w:lang w:val="en-US"/>
              </w:rPr>
              <w:t>Physical health</w:t>
            </w:r>
          </w:p>
        </w:tc>
        <w:tc>
          <w:tcPr>
            <w:tcW w:w="4678" w:type="dxa"/>
          </w:tcPr>
          <w:p w14:paraId="263863CE"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Activities of daily living</w:t>
            </w:r>
          </w:p>
          <w:p w14:paraId="5C599167"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Dependence on medicinal substances and medical aids</w:t>
            </w:r>
          </w:p>
          <w:p w14:paraId="732C05C4"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Energy and fatigue</w:t>
            </w:r>
          </w:p>
          <w:p w14:paraId="7AE618E0"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Mobility</w:t>
            </w:r>
          </w:p>
          <w:p w14:paraId="68554022"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Pain and discomfort</w:t>
            </w:r>
          </w:p>
          <w:p w14:paraId="298A54CF"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Sleep and rest</w:t>
            </w:r>
          </w:p>
          <w:p w14:paraId="3AE457BA" w14:textId="77777777" w:rsidR="00AE37D1" w:rsidRPr="002B5C75" w:rsidRDefault="00AE37D1" w:rsidP="0030517A">
            <w:pPr>
              <w:jc w:val="both"/>
              <w:rPr>
                <w:rFonts w:ascii="Times New Roman" w:eastAsia="Batang" w:hAnsi="Times New Roman"/>
                <w:sz w:val="20"/>
                <w:szCs w:val="20"/>
                <w:lang w:val="en-US"/>
              </w:rPr>
            </w:pPr>
            <w:r w:rsidRPr="002B5C75">
              <w:rPr>
                <w:rFonts w:ascii="Times New Roman" w:eastAsia="Batang" w:hAnsi="Times New Roman"/>
                <w:sz w:val="20"/>
                <w:szCs w:val="20"/>
                <w:lang w:val="en-US"/>
              </w:rPr>
              <w:t>Work capacity</w:t>
            </w:r>
          </w:p>
        </w:tc>
      </w:tr>
      <w:tr w:rsidR="00AE37D1" w:rsidRPr="00D15E6F" w14:paraId="26B904C7" w14:textId="77777777" w:rsidTr="0030517A">
        <w:tc>
          <w:tcPr>
            <w:tcW w:w="4531" w:type="dxa"/>
          </w:tcPr>
          <w:p w14:paraId="3B323C3C" w14:textId="77777777" w:rsidR="00AE37D1" w:rsidRPr="002B5C75" w:rsidRDefault="00AE37D1" w:rsidP="0030517A">
            <w:pPr>
              <w:pStyle w:val="Prrafodelista"/>
              <w:numPr>
                <w:ilvl w:val="0"/>
                <w:numId w:val="1"/>
              </w:numPr>
              <w:jc w:val="both"/>
              <w:rPr>
                <w:rFonts w:ascii="Times New Roman" w:eastAsia="Batang" w:hAnsi="Times New Roman"/>
                <w:sz w:val="20"/>
                <w:szCs w:val="20"/>
                <w:lang w:val="en-US"/>
              </w:rPr>
            </w:pPr>
            <w:r w:rsidRPr="002B5C75">
              <w:rPr>
                <w:rFonts w:ascii="Times New Roman" w:eastAsia="Batang" w:hAnsi="Times New Roman"/>
                <w:sz w:val="20"/>
                <w:szCs w:val="20"/>
                <w:lang w:val="en-US"/>
              </w:rPr>
              <w:t>Psychological</w:t>
            </w:r>
          </w:p>
        </w:tc>
        <w:tc>
          <w:tcPr>
            <w:tcW w:w="4678" w:type="dxa"/>
          </w:tcPr>
          <w:p w14:paraId="113DAC2E"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Bodily image and appearance</w:t>
            </w:r>
          </w:p>
          <w:p w14:paraId="06032726"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Negative feelings</w:t>
            </w:r>
          </w:p>
          <w:p w14:paraId="42018664"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Positive feelings</w:t>
            </w:r>
          </w:p>
          <w:p w14:paraId="4F8D7CE6"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Self-esteem</w:t>
            </w:r>
          </w:p>
          <w:p w14:paraId="01FD63D7"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Spirituality/Religion/Personal beliefs</w:t>
            </w:r>
          </w:p>
          <w:p w14:paraId="70EBF23D" w14:textId="77777777" w:rsidR="00AE37D1" w:rsidRPr="002B5C75"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Thinking, learning, memory and concentration</w:t>
            </w:r>
          </w:p>
        </w:tc>
      </w:tr>
      <w:tr w:rsidR="00AE37D1" w14:paraId="3D315F83" w14:textId="77777777" w:rsidTr="0030517A">
        <w:tc>
          <w:tcPr>
            <w:tcW w:w="4531" w:type="dxa"/>
          </w:tcPr>
          <w:p w14:paraId="22F8FF04" w14:textId="77777777" w:rsidR="00AE37D1" w:rsidRPr="002B5C75" w:rsidRDefault="00AE37D1" w:rsidP="0030517A">
            <w:pPr>
              <w:pStyle w:val="Prrafodelista"/>
              <w:numPr>
                <w:ilvl w:val="0"/>
                <w:numId w:val="1"/>
              </w:numPr>
              <w:jc w:val="both"/>
              <w:rPr>
                <w:rFonts w:ascii="Times New Roman" w:eastAsia="Batang" w:hAnsi="Times New Roman"/>
                <w:sz w:val="20"/>
                <w:szCs w:val="20"/>
                <w:lang w:val="en-US"/>
              </w:rPr>
            </w:pPr>
            <w:r w:rsidRPr="002B5C75">
              <w:rPr>
                <w:rFonts w:ascii="Times New Roman" w:eastAsia="Batang" w:hAnsi="Times New Roman"/>
                <w:sz w:val="20"/>
                <w:szCs w:val="20"/>
                <w:lang w:val="en-US"/>
              </w:rPr>
              <w:t>Social relationships</w:t>
            </w:r>
          </w:p>
        </w:tc>
        <w:tc>
          <w:tcPr>
            <w:tcW w:w="4678" w:type="dxa"/>
          </w:tcPr>
          <w:p w14:paraId="455C032F"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Personal relationships</w:t>
            </w:r>
          </w:p>
          <w:p w14:paraId="75F30DE5"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Social support</w:t>
            </w:r>
          </w:p>
          <w:p w14:paraId="0868F2A5" w14:textId="77777777" w:rsidR="00AE37D1" w:rsidRPr="002B5C75"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Sexual activity</w:t>
            </w:r>
          </w:p>
        </w:tc>
      </w:tr>
      <w:tr w:rsidR="00AE37D1" w:rsidRPr="002B5C75" w14:paraId="20B0CF45" w14:textId="77777777" w:rsidTr="0030517A">
        <w:tc>
          <w:tcPr>
            <w:tcW w:w="4531" w:type="dxa"/>
          </w:tcPr>
          <w:p w14:paraId="2A29E794" w14:textId="77777777" w:rsidR="00AE37D1" w:rsidRPr="002B5C75" w:rsidRDefault="00AE37D1" w:rsidP="0030517A">
            <w:pPr>
              <w:pStyle w:val="Prrafodelista"/>
              <w:numPr>
                <w:ilvl w:val="0"/>
                <w:numId w:val="1"/>
              </w:numPr>
              <w:jc w:val="both"/>
              <w:rPr>
                <w:rFonts w:ascii="Times New Roman" w:eastAsia="Batang" w:hAnsi="Times New Roman"/>
                <w:sz w:val="20"/>
                <w:szCs w:val="20"/>
                <w:lang w:val="en-US"/>
              </w:rPr>
            </w:pPr>
            <w:r w:rsidRPr="002B5C75">
              <w:rPr>
                <w:rFonts w:ascii="Times New Roman" w:eastAsia="Batang" w:hAnsi="Times New Roman"/>
                <w:sz w:val="20"/>
                <w:szCs w:val="20"/>
                <w:lang w:val="en-US"/>
              </w:rPr>
              <w:t>Environment</w:t>
            </w:r>
          </w:p>
        </w:tc>
        <w:tc>
          <w:tcPr>
            <w:tcW w:w="4678" w:type="dxa"/>
          </w:tcPr>
          <w:p w14:paraId="24A5DB14"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Financial resources</w:t>
            </w:r>
          </w:p>
          <w:p w14:paraId="09D25E98"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Freedom, physical safety and security</w:t>
            </w:r>
          </w:p>
          <w:p w14:paraId="668395E7"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Health and social care: accessibility and quality</w:t>
            </w:r>
          </w:p>
          <w:p w14:paraId="611AB0F5"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Home environment</w:t>
            </w:r>
          </w:p>
          <w:p w14:paraId="58039260" w14:textId="77777777" w:rsidR="00AE37D1" w:rsidRDefault="00AE37D1" w:rsidP="0030517A">
            <w:pPr>
              <w:jc w:val="both"/>
              <w:rPr>
                <w:rFonts w:ascii="Times New Roman" w:eastAsia="Batang" w:hAnsi="Times New Roman"/>
                <w:sz w:val="20"/>
                <w:szCs w:val="20"/>
                <w:lang w:val="en-US"/>
              </w:rPr>
            </w:pPr>
            <w:r>
              <w:rPr>
                <w:rFonts w:ascii="Times New Roman" w:eastAsia="Batang" w:hAnsi="Times New Roman"/>
                <w:sz w:val="20"/>
                <w:szCs w:val="20"/>
                <w:lang w:val="en-US"/>
              </w:rPr>
              <w:t>Opportunities for acquiring new information and skills</w:t>
            </w:r>
          </w:p>
          <w:p w14:paraId="1C1351E1" w14:textId="77777777" w:rsidR="00AE37D1" w:rsidRDefault="00AE37D1" w:rsidP="0030517A">
            <w:pPr>
              <w:jc w:val="both"/>
              <w:rPr>
                <w:rFonts w:ascii="Times New Roman" w:eastAsia="Batang" w:hAnsi="Times New Roman"/>
                <w:sz w:val="20"/>
                <w:szCs w:val="20"/>
                <w:lang w:val="fr-FR"/>
              </w:rPr>
            </w:pPr>
            <w:r w:rsidRPr="002B5C75">
              <w:rPr>
                <w:rFonts w:ascii="Times New Roman" w:eastAsia="Batang" w:hAnsi="Times New Roman"/>
                <w:sz w:val="20"/>
                <w:szCs w:val="20"/>
                <w:lang w:val="fr-FR"/>
              </w:rPr>
              <w:t>Physical environment (pollution / noise / t</w:t>
            </w:r>
            <w:r>
              <w:rPr>
                <w:rFonts w:ascii="Times New Roman" w:eastAsia="Batang" w:hAnsi="Times New Roman"/>
                <w:sz w:val="20"/>
                <w:szCs w:val="20"/>
                <w:lang w:val="fr-FR"/>
              </w:rPr>
              <w:t>raffic / climate)</w:t>
            </w:r>
          </w:p>
          <w:p w14:paraId="2C38F8E2" w14:textId="77777777" w:rsidR="00AE37D1" w:rsidRPr="002B5C75" w:rsidRDefault="00AE37D1" w:rsidP="0030517A">
            <w:pPr>
              <w:jc w:val="both"/>
              <w:rPr>
                <w:rFonts w:ascii="Times New Roman" w:eastAsia="Batang" w:hAnsi="Times New Roman"/>
                <w:sz w:val="20"/>
                <w:szCs w:val="20"/>
                <w:lang w:val="fr-FR"/>
              </w:rPr>
            </w:pPr>
            <w:r>
              <w:rPr>
                <w:rFonts w:ascii="Times New Roman" w:eastAsia="Batang" w:hAnsi="Times New Roman"/>
                <w:sz w:val="20"/>
                <w:szCs w:val="20"/>
                <w:lang w:val="fr-FR"/>
              </w:rPr>
              <w:t>Transport</w:t>
            </w:r>
          </w:p>
        </w:tc>
      </w:tr>
    </w:tbl>
    <w:p w14:paraId="04E418A7" w14:textId="77777777" w:rsidR="00AE37D1" w:rsidRDefault="00AE37D1" w:rsidP="00977FF8">
      <w:pPr>
        <w:jc w:val="both"/>
        <w:rPr>
          <w:rFonts w:ascii="Times New Roman" w:hAnsi="Times New Roman"/>
          <w:sz w:val="24"/>
          <w:szCs w:val="24"/>
          <w:lang w:val="en-US"/>
        </w:rPr>
      </w:pPr>
    </w:p>
    <w:p w14:paraId="6F217FA1" w14:textId="38365193" w:rsidR="00BE1C58" w:rsidRPr="00A37507" w:rsidRDefault="00BE1C58" w:rsidP="00977FF8">
      <w:pPr>
        <w:jc w:val="both"/>
        <w:rPr>
          <w:rFonts w:ascii="Times New Roman" w:hAnsi="Times New Roman"/>
          <w:sz w:val="24"/>
          <w:szCs w:val="24"/>
          <w:lang w:val="en-US"/>
        </w:rPr>
      </w:pPr>
      <w:r>
        <w:rPr>
          <w:rFonts w:ascii="Times New Roman" w:hAnsi="Times New Roman"/>
          <w:b/>
          <w:bCs/>
          <w:sz w:val="24"/>
          <w:szCs w:val="24"/>
          <w:lang w:val="en-US"/>
        </w:rPr>
        <w:t>S</w:t>
      </w:r>
      <w:r w:rsidR="00D15E6F">
        <w:rPr>
          <w:rFonts w:ascii="Times New Roman" w:hAnsi="Times New Roman"/>
          <w:b/>
          <w:bCs/>
          <w:sz w:val="24"/>
          <w:szCs w:val="24"/>
          <w:lang w:val="en-US"/>
        </w:rPr>
        <w:t>2</w:t>
      </w:r>
      <w:r>
        <w:rPr>
          <w:rFonts w:ascii="Times New Roman" w:hAnsi="Times New Roman"/>
          <w:b/>
          <w:bCs/>
          <w:sz w:val="24"/>
          <w:szCs w:val="24"/>
          <w:lang w:val="en-US"/>
        </w:rPr>
        <w:t xml:space="preserve">. </w:t>
      </w:r>
      <w:r w:rsidR="009F7A99">
        <w:rPr>
          <w:rFonts w:ascii="Times New Roman" w:hAnsi="Times New Roman"/>
          <w:sz w:val="24"/>
          <w:szCs w:val="24"/>
          <w:lang w:val="en-US"/>
        </w:rPr>
        <w:t xml:space="preserve">The Montreal Cognitive Assessment </w:t>
      </w:r>
      <w:r w:rsidR="0031267E">
        <w:rPr>
          <w:rFonts w:ascii="Times New Roman" w:hAnsi="Times New Roman"/>
          <w:sz w:val="24"/>
          <w:szCs w:val="24"/>
          <w:lang w:val="en-US"/>
        </w:rPr>
        <w:t xml:space="preserve">is a screening device used to assess </w:t>
      </w:r>
      <w:r w:rsidR="003419C1">
        <w:rPr>
          <w:rFonts w:ascii="Times New Roman" w:hAnsi="Times New Roman"/>
          <w:sz w:val="24"/>
          <w:szCs w:val="24"/>
          <w:lang w:val="en-US"/>
        </w:rPr>
        <w:t xml:space="preserve">several cognitive </w:t>
      </w:r>
      <w:r w:rsidR="00495132">
        <w:rPr>
          <w:rFonts w:ascii="Times New Roman" w:hAnsi="Times New Roman"/>
          <w:sz w:val="24"/>
          <w:szCs w:val="24"/>
          <w:lang w:val="en-US"/>
        </w:rPr>
        <w:t>domain</w:t>
      </w:r>
      <w:r w:rsidR="003419C1">
        <w:rPr>
          <w:rFonts w:ascii="Times New Roman" w:hAnsi="Times New Roman"/>
          <w:sz w:val="24"/>
          <w:szCs w:val="24"/>
          <w:lang w:val="en-US"/>
        </w:rPr>
        <w:t>s</w:t>
      </w:r>
      <w:r w:rsidR="009D6364">
        <w:rPr>
          <w:rFonts w:ascii="Times New Roman" w:hAnsi="Times New Roman"/>
          <w:sz w:val="24"/>
          <w:szCs w:val="24"/>
          <w:lang w:val="en-US"/>
        </w:rPr>
        <w:t>. It is made up of eight subsections</w:t>
      </w:r>
      <w:r w:rsidR="00566B99">
        <w:rPr>
          <w:rFonts w:ascii="Times New Roman" w:hAnsi="Times New Roman"/>
          <w:sz w:val="24"/>
          <w:szCs w:val="24"/>
          <w:lang w:val="en-US"/>
        </w:rPr>
        <w:t xml:space="preserve">. The first measures visuospatial abilities and cognitive functioning. The second </w:t>
      </w:r>
      <w:r w:rsidR="00C8521F">
        <w:rPr>
          <w:rFonts w:ascii="Times New Roman" w:hAnsi="Times New Roman"/>
          <w:sz w:val="24"/>
          <w:szCs w:val="24"/>
          <w:lang w:val="en-US"/>
        </w:rPr>
        <w:t>evaluates short-term memory with a list of five words, which will be asked at the</w:t>
      </w:r>
      <w:r w:rsidR="000E25F2">
        <w:rPr>
          <w:rFonts w:ascii="Times New Roman" w:hAnsi="Times New Roman"/>
          <w:sz w:val="24"/>
          <w:szCs w:val="24"/>
          <w:lang w:val="en-US"/>
        </w:rPr>
        <w:t xml:space="preserve"> seventh subsection. The third subtest </w:t>
      </w:r>
      <w:r w:rsidR="0036189F">
        <w:rPr>
          <w:rFonts w:ascii="Times New Roman" w:hAnsi="Times New Roman"/>
          <w:sz w:val="24"/>
          <w:szCs w:val="24"/>
          <w:lang w:val="en-US"/>
        </w:rPr>
        <w:t xml:space="preserve">evaluates attention and working memory. The fourth, evaluates language; the fifth tests for abstraction capacities and the eight </w:t>
      </w:r>
      <w:r w:rsidR="007E7CF4">
        <w:rPr>
          <w:rFonts w:ascii="Times New Roman" w:hAnsi="Times New Roman"/>
          <w:sz w:val="24"/>
          <w:szCs w:val="24"/>
          <w:lang w:val="en-US"/>
        </w:rPr>
        <w:t xml:space="preserve">consists of five questions to evaluate orientation. The maximum is 30. For patients with less </w:t>
      </w:r>
      <w:proofErr w:type="spellStart"/>
      <w:r w:rsidR="007E7CF4">
        <w:rPr>
          <w:rFonts w:ascii="Times New Roman" w:hAnsi="Times New Roman"/>
          <w:sz w:val="24"/>
          <w:szCs w:val="24"/>
          <w:lang w:val="en-US"/>
        </w:rPr>
        <w:t>that</w:t>
      </w:r>
      <w:proofErr w:type="spellEnd"/>
      <w:r w:rsidR="007E7CF4">
        <w:rPr>
          <w:rFonts w:ascii="Times New Roman" w:hAnsi="Times New Roman"/>
          <w:sz w:val="24"/>
          <w:szCs w:val="24"/>
          <w:lang w:val="en-US"/>
        </w:rPr>
        <w:t xml:space="preserve"> 12 years of education, an additional point is given to the final score. </w:t>
      </w:r>
      <w:r w:rsidR="00A76129">
        <w:rPr>
          <w:rFonts w:ascii="Times New Roman" w:hAnsi="Times New Roman"/>
          <w:sz w:val="24"/>
          <w:szCs w:val="24"/>
          <w:lang w:val="en-US"/>
        </w:rPr>
        <w:t xml:space="preserve">Scores of 25 or less indicate cognitive dysfunction. </w:t>
      </w:r>
    </w:p>
    <w:p w14:paraId="7381A525" w14:textId="5074E85E" w:rsidR="00977FF8" w:rsidRDefault="00977FF8" w:rsidP="00977FF8">
      <w:pPr>
        <w:jc w:val="both"/>
        <w:rPr>
          <w:rFonts w:ascii="Times New Roman" w:eastAsia="Batang" w:hAnsi="Times New Roman"/>
          <w:sz w:val="24"/>
          <w:szCs w:val="24"/>
          <w:lang w:val="en-US"/>
        </w:rPr>
      </w:pPr>
      <w:r>
        <w:rPr>
          <w:rFonts w:ascii="Times New Roman" w:hAnsi="Times New Roman" w:cs="Times New Roman"/>
          <w:b/>
          <w:sz w:val="24"/>
          <w:szCs w:val="24"/>
          <w:lang w:val="en-US"/>
        </w:rPr>
        <w:t>S</w:t>
      </w:r>
      <w:r w:rsidR="00D15E6F">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Pr="00FD17CF">
        <w:rPr>
          <w:rFonts w:ascii="Times New Roman" w:hAnsi="Times New Roman"/>
          <w:sz w:val="24"/>
          <w:szCs w:val="24"/>
          <w:lang w:val="en-US"/>
        </w:rPr>
        <w:t>The INECO Frontal Screening</w:t>
      </w:r>
      <w:r w:rsidRPr="00FD17CF">
        <w:rPr>
          <w:rFonts w:ascii="Times New Roman" w:eastAsia="Batang" w:hAnsi="Times New Roman"/>
          <w:sz w:val="24"/>
          <w:szCs w:val="24"/>
          <w:lang w:val="en-US"/>
        </w:rPr>
        <w:t xml:space="preserve"> (IFS) </w:t>
      </w:r>
      <w:r>
        <w:rPr>
          <w:rFonts w:ascii="Times New Roman" w:eastAsia="Batang" w:hAnsi="Times New Roman"/>
          <w:sz w:val="24"/>
          <w:szCs w:val="24"/>
          <w:lang w:val="en-US"/>
        </w:rPr>
        <w:t>consists of</w:t>
      </w:r>
      <w:r w:rsidRPr="00FD17CF">
        <w:rPr>
          <w:rFonts w:ascii="Times New Roman" w:eastAsia="Batang" w:hAnsi="Times New Roman"/>
          <w:sz w:val="24"/>
          <w:szCs w:val="24"/>
          <w:lang w:val="en-US"/>
        </w:rPr>
        <w:t xml:space="preserve"> eight subtests: (1) motor programming (Luria series, “fist, edge, palm”); (2) conflicting instructions (hitting the table once when the administrator hits it twice, or hitting it twice when the administrator hits it only once); (3) motor inhibitory control; (4) numerical working memory (backward digit span); (5) verbal </w:t>
      </w:r>
      <w:r w:rsidRPr="00FD17CF">
        <w:rPr>
          <w:rFonts w:ascii="Times New Roman" w:eastAsia="Batang" w:hAnsi="Times New Roman"/>
          <w:sz w:val="24"/>
          <w:szCs w:val="24"/>
          <w:lang w:val="en-US"/>
        </w:rPr>
        <w:lastRenderedPageBreak/>
        <w:t xml:space="preserve">working memory (months backwards); (6) spatial working memory (modified </w:t>
      </w:r>
      <w:proofErr w:type="spellStart"/>
      <w:r w:rsidRPr="00FD17CF">
        <w:rPr>
          <w:rFonts w:ascii="Times New Roman" w:eastAsia="Batang" w:hAnsi="Times New Roman"/>
          <w:sz w:val="24"/>
          <w:szCs w:val="24"/>
          <w:lang w:val="en-US"/>
        </w:rPr>
        <w:t>Corsi</w:t>
      </w:r>
      <w:proofErr w:type="spellEnd"/>
      <w:r w:rsidRPr="00FD17CF">
        <w:rPr>
          <w:rFonts w:ascii="Times New Roman" w:eastAsia="Batang" w:hAnsi="Times New Roman"/>
          <w:sz w:val="24"/>
          <w:szCs w:val="24"/>
          <w:lang w:val="en-US"/>
        </w:rPr>
        <w:t xml:space="preserve"> tapping test); (7) abstraction capacity (inferring the meaning of proverbs), and (8) verbal inhibitory control (modified Hayling test). The maximum possible score on the IFS is 30 points. This test has been shown to successfully detect executive dysfunction in patients with neurological and psychiatric diseases.</w:t>
      </w:r>
    </w:p>
    <w:p w14:paraId="099511A4" w14:textId="0585023A" w:rsidR="00977FF8" w:rsidRDefault="00977FF8" w:rsidP="00977FF8">
      <w:pPr>
        <w:jc w:val="both"/>
        <w:rPr>
          <w:rFonts w:ascii="Times New Roman" w:hAnsi="Times New Roman"/>
          <w:sz w:val="24"/>
          <w:szCs w:val="24"/>
          <w:lang w:val="en-US"/>
        </w:rPr>
      </w:pPr>
      <w:r w:rsidRPr="00185DAF">
        <w:rPr>
          <w:rFonts w:ascii="Times New Roman" w:hAnsi="Times New Roman"/>
          <w:b/>
          <w:sz w:val="24"/>
          <w:szCs w:val="24"/>
          <w:lang w:val="en-US"/>
        </w:rPr>
        <w:t>S</w:t>
      </w:r>
      <w:r w:rsidR="00D15E6F">
        <w:rPr>
          <w:rFonts w:ascii="Times New Roman" w:hAnsi="Times New Roman"/>
          <w:b/>
          <w:sz w:val="24"/>
          <w:szCs w:val="24"/>
          <w:lang w:val="en-US"/>
        </w:rPr>
        <w:t>4</w:t>
      </w:r>
      <w:r w:rsidRPr="00185DAF">
        <w:rPr>
          <w:rFonts w:ascii="Times New Roman" w:hAnsi="Times New Roman"/>
          <w:b/>
          <w:sz w:val="24"/>
          <w:szCs w:val="24"/>
          <w:lang w:val="en-US"/>
        </w:rPr>
        <w:t>.</w:t>
      </w:r>
      <w:r w:rsidRPr="00185DAF">
        <w:rPr>
          <w:rFonts w:ascii="Times New Roman" w:hAnsi="Times New Roman"/>
          <w:sz w:val="24"/>
          <w:szCs w:val="24"/>
          <w:lang w:val="en-US"/>
        </w:rPr>
        <w:t xml:space="preserve"> </w:t>
      </w:r>
      <w:r w:rsidRPr="00185DAF">
        <w:rPr>
          <w:rFonts w:ascii="Times New Roman" w:hAnsi="Times New Roman"/>
          <w:b/>
          <w:sz w:val="24"/>
          <w:szCs w:val="24"/>
          <w:lang w:val="en-US" w:eastAsia="es-CO"/>
        </w:rPr>
        <w:t>MRI scanning</w:t>
      </w:r>
      <w:r w:rsidRPr="00185DAF">
        <w:rPr>
          <w:rFonts w:ascii="Times New Roman" w:hAnsi="Times New Roman"/>
          <w:sz w:val="24"/>
          <w:szCs w:val="24"/>
          <w:lang w:val="en-US"/>
        </w:rPr>
        <w:t xml:space="preserve">. A T1-weighted spin echo sequence was used to generate contiguous axial slices covering the whole brain (TR=7489 </w:t>
      </w:r>
      <w:proofErr w:type="spellStart"/>
      <w:r w:rsidRPr="00185DAF">
        <w:rPr>
          <w:rFonts w:ascii="Times New Roman" w:hAnsi="Times New Roman"/>
          <w:sz w:val="24"/>
          <w:szCs w:val="24"/>
          <w:lang w:val="en-US"/>
        </w:rPr>
        <w:t>ms</w:t>
      </w:r>
      <w:proofErr w:type="spellEnd"/>
      <w:r w:rsidRPr="00185DAF">
        <w:rPr>
          <w:rFonts w:ascii="Times New Roman" w:hAnsi="Times New Roman"/>
          <w:sz w:val="24"/>
          <w:szCs w:val="24"/>
          <w:lang w:val="en-US"/>
        </w:rPr>
        <w:t xml:space="preserve">; TE=3420 </w:t>
      </w:r>
      <w:proofErr w:type="spellStart"/>
      <w:r w:rsidRPr="00185DAF">
        <w:rPr>
          <w:rFonts w:ascii="Times New Roman" w:hAnsi="Times New Roman"/>
          <w:sz w:val="24"/>
          <w:szCs w:val="24"/>
          <w:lang w:val="en-US"/>
        </w:rPr>
        <w:t>ms</w:t>
      </w:r>
      <w:proofErr w:type="spellEnd"/>
      <w:r w:rsidRPr="00185DAF">
        <w:rPr>
          <w:rFonts w:ascii="Times New Roman" w:hAnsi="Times New Roman"/>
          <w:sz w:val="24"/>
          <w:szCs w:val="24"/>
          <w:lang w:val="en-US"/>
        </w:rPr>
        <w:t>; flip angle=8°; FOV= 256x256 mm; matrix size=256x240; 1mm isotropic).</w:t>
      </w:r>
    </w:p>
    <w:p w14:paraId="36D2788D" w14:textId="22ADC94B" w:rsidR="00977FF8" w:rsidRDefault="00977FF8" w:rsidP="00977FF8">
      <w:pPr>
        <w:widowControl w:val="0"/>
        <w:autoSpaceDE w:val="0"/>
        <w:autoSpaceDN w:val="0"/>
        <w:adjustRightInd w:val="0"/>
        <w:jc w:val="both"/>
        <w:rPr>
          <w:rFonts w:ascii="Times New Roman" w:hAnsi="Times New Roman" w:cs="Times New Roman"/>
          <w:sz w:val="24"/>
          <w:szCs w:val="24"/>
          <w:lang w:val="en-US" w:eastAsia="es-AR"/>
        </w:rPr>
      </w:pPr>
      <w:r w:rsidRPr="00256C3F">
        <w:rPr>
          <w:rFonts w:ascii="Times New Roman" w:hAnsi="Times New Roman" w:cs="Times New Roman"/>
          <w:b/>
          <w:sz w:val="24"/>
          <w:szCs w:val="24"/>
          <w:lang w:val="en-US" w:eastAsia="es-CO"/>
        </w:rPr>
        <w:t>S</w:t>
      </w:r>
      <w:r w:rsidR="00D15E6F">
        <w:rPr>
          <w:rFonts w:ascii="Times New Roman" w:hAnsi="Times New Roman" w:cs="Times New Roman"/>
          <w:b/>
          <w:sz w:val="24"/>
          <w:szCs w:val="24"/>
          <w:lang w:val="en-US" w:eastAsia="es-CO"/>
        </w:rPr>
        <w:t>5</w:t>
      </w:r>
      <w:bookmarkStart w:id="0" w:name="_GoBack"/>
      <w:bookmarkEnd w:id="0"/>
      <w:r w:rsidRPr="00256C3F">
        <w:rPr>
          <w:rFonts w:ascii="Times New Roman" w:hAnsi="Times New Roman" w:cs="Times New Roman"/>
          <w:b/>
          <w:sz w:val="24"/>
          <w:szCs w:val="24"/>
          <w:lang w:val="en-US"/>
        </w:rPr>
        <w:t xml:space="preserve">. VBM analysis. </w:t>
      </w:r>
      <w:r w:rsidRPr="00256C3F">
        <w:rPr>
          <w:rFonts w:ascii="Times New Roman" w:hAnsi="Times New Roman" w:cs="Times New Roman"/>
          <w:sz w:val="24"/>
          <w:szCs w:val="24"/>
          <w:lang w:val="en-US"/>
        </w:rPr>
        <w:t>Images were preprocessed using the DARTEL Toolbox, in accordance with previously described procedures</w:t>
      </w:r>
      <w:r>
        <w:rPr>
          <w:rFonts w:ascii="Times New Roman" w:hAnsi="Times New Roman" w:cs="Times New Roman"/>
          <w:sz w:val="24"/>
          <w:szCs w:val="24"/>
          <w:lang w:val="en-US"/>
        </w:rPr>
        <w:t>.</w:t>
      </w:r>
      <w:r w:rsidRPr="00256C3F">
        <w:rPr>
          <w:rFonts w:ascii="Times New Roman" w:hAnsi="Times New Roman" w:cs="Times New Roman"/>
          <w:sz w:val="24"/>
          <w:szCs w:val="24"/>
          <w:lang w:val="en-US"/>
        </w:rPr>
        <w:t xml:space="preserve">  Then, modulated 12-mm full-width half-maximum kernel-smoothed images were normalized to the MNI space and analyzed through general linear models for 2nd level analyses on SPM-12 software. To explore</w:t>
      </w:r>
      <w:r w:rsidRPr="00256C3F">
        <w:rPr>
          <w:rFonts w:ascii="Times New Roman" w:hAnsi="Times New Roman" w:cs="Times New Roman"/>
          <w:bCs/>
          <w:sz w:val="24"/>
          <w:szCs w:val="24"/>
          <w:lang w:val="en-US" w:eastAsia="es-CO"/>
        </w:rPr>
        <w:t xml:space="preserve"> regional GM reduction in the HD group </w:t>
      </w:r>
      <w:r>
        <w:rPr>
          <w:rFonts w:ascii="Times New Roman" w:hAnsi="Times New Roman" w:cs="Times New Roman"/>
          <w:bCs/>
          <w:sz w:val="24"/>
          <w:szCs w:val="24"/>
          <w:lang w:val="en-US" w:eastAsia="es-CO"/>
        </w:rPr>
        <w:t xml:space="preserve">and caregivers </w:t>
      </w:r>
      <w:r w:rsidRPr="00256C3F">
        <w:rPr>
          <w:rFonts w:ascii="Times New Roman" w:hAnsi="Times New Roman" w:cs="Times New Roman"/>
          <w:bCs/>
          <w:sz w:val="24"/>
          <w:szCs w:val="24"/>
          <w:lang w:val="en-US" w:eastAsia="es-CO"/>
        </w:rPr>
        <w:t>relative to controls,</w:t>
      </w:r>
      <w:r w:rsidRPr="00256C3F">
        <w:rPr>
          <w:rFonts w:ascii="Times New Roman" w:hAnsi="Times New Roman" w:cs="Times New Roman"/>
          <w:sz w:val="24"/>
          <w:szCs w:val="24"/>
          <w:lang w:val="en-US"/>
        </w:rPr>
        <w:t xml:space="preserve"> a two-sample </w:t>
      </w:r>
      <w:r w:rsidRPr="00256C3F">
        <w:rPr>
          <w:rFonts w:ascii="Times New Roman" w:hAnsi="Times New Roman" w:cs="Times New Roman"/>
          <w:iCs/>
          <w:sz w:val="24"/>
          <w:szCs w:val="24"/>
          <w:lang w:val="en-US"/>
        </w:rPr>
        <w:t>comparison</w:t>
      </w:r>
      <w:r w:rsidRPr="00256C3F">
        <w:rPr>
          <w:rFonts w:ascii="Times New Roman" w:hAnsi="Times New Roman" w:cs="Times New Roman"/>
          <w:sz w:val="24"/>
          <w:szCs w:val="24"/>
          <w:lang w:val="en-US"/>
        </w:rPr>
        <w:t>, including total intracranial volume (TIV) as a confounding covariate (</w:t>
      </w:r>
      <w:r w:rsidRPr="00256C3F">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sidRPr="00256C3F">
        <w:rPr>
          <w:rFonts w:ascii="Times New Roman" w:hAnsi="Times New Roman" w:cs="Times New Roman"/>
          <w:iCs/>
          <w:sz w:val="24"/>
          <w:szCs w:val="24"/>
          <w:lang w:val="en-US"/>
        </w:rPr>
        <w:t>&lt;</w:t>
      </w:r>
      <w:r>
        <w:rPr>
          <w:rFonts w:ascii="Times New Roman" w:hAnsi="Times New Roman" w:cs="Times New Roman"/>
          <w:iCs/>
          <w:sz w:val="24"/>
          <w:szCs w:val="24"/>
          <w:lang w:val="en-US"/>
        </w:rPr>
        <w:t xml:space="preserve"> 0</w:t>
      </w:r>
      <w:r w:rsidRPr="00256C3F">
        <w:rPr>
          <w:rFonts w:ascii="Times New Roman" w:hAnsi="Times New Roman" w:cs="Times New Roman"/>
          <w:sz w:val="24"/>
          <w:szCs w:val="24"/>
          <w:lang w:val="en-US" w:eastAsia="es-AR"/>
        </w:rPr>
        <w:t>.0</w:t>
      </w:r>
      <w:r>
        <w:rPr>
          <w:rFonts w:ascii="Times New Roman" w:hAnsi="Times New Roman" w:cs="Times New Roman"/>
          <w:sz w:val="24"/>
          <w:szCs w:val="24"/>
          <w:lang w:val="en-US" w:eastAsia="es-AR"/>
        </w:rPr>
        <w:t>1</w:t>
      </w:r>
      <w:r w:rsidRPr="00256C3F">
        <w:rPr>
          <w:rFonts w:ascii="Times New Roman" w:hAnsi="Times New Roman" w:cs="Times New Roman"/>
          <w:sz w:val="24"/>
          <w:szCs w:val="24"/>
          <w:lang w:val="en-US" w:eastAsia="es-AR"/>
        </w:rPr>
        <w:t xml:space="preserve">, </w:t>
      </w:r>
      <w:r>
        <w:rPr>
          <w:rFonts w:ascii="Times New Roman" w:hAnsi="Times New Roman" w:cs="Times New Roman"/>
          <w:sz w:val="24"/>
          <w:szCs w:val="24"/>
          <w:lang w:val="en-US" w:eastAsia="es-AR"/>
        </w:rPr>
        <w:t xml:space="preserve">not </w:t>
      </w:r>
      <w:r w:rsidRPr="00256C3F">
        <w:rPr>
          <w:rFonts w:ascii="Times New Roman" w:hAnsi="Times New Roman" w:cs="Times New Roman"/>
          <w:sz w:val="24"/>
          <w:szCs w:val="24"/>
          <w:lang w:val="en-US" w:eastAsia="es-AR"/>
        </w:rPr>
        <w:t>FWE corrected, extent threshold=</w:t>
      </w:r>
      <w:r>
        <w:rPr>
          <w:rFonts w:ascii="Times New Roman" w:hAnsi="Times New Roman" w:cs="Times New Roman"/>
          <w:sz w:val="24"/>
          <w:szCs w:val="24"/>
          <w:lang w:val="en-US" w:eastAsia="es-AR"/>
        </w:rPr>
        <w:t>30</w:t>
      </w:r>
      <w:r w:rsidRPr="00256C3F">
        <w:rPr>
          <w:rFonts w:ascii="Times New Roman" w:hAnsi="Times New Roman" w:cs="Times New Roman"/>
          <w:sz w:val="24"/>
          <w:szCs w:val="24"/>
          <w:lang w:val="en-US" w:eastAsia="es-AR"/>
        </w:rPr>
        <w:t xml:space="preserve"> voxels)</w:t>
      </w:r>
      <w:r>
        <w:rPr>
          <w:rFonts w:ascii="Times New Roman" w:hAnsi="Times New Roman" w:cs="Times New Roman"/>
          <w:sz w:val="24"/>
          <w:szCs w:val="24"/>
          <w:lang w:val="en-US" w:eastAsia="es-AR"/>
        </w:rPr>
        <w:t>, was performed.</w:t>
      </w:r>
    </w:p>
    <w:sectPr w:rsidR="00977F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A635E"/>
    <w:multiLevelType w:val="hybridMultilevel"/>
    <w:tmpl w:val="71B4A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E"/>
    <w:rsid w:val="0005767C"/>
    <w:rsid w:val="000E25F2"/>
    <w:rsid w:val="0022390E"/>
    <w:rsid w:val="0031267E"/>
    <w:rsid w:val="003419C1"/>
    <w:rsid w:val="0036189F"/>
    <w:rsid w:val="00363E07"/>
    <w:rsid w:val="003D0F30"/>
    <w:rsid w:val="004774F1"/>
    <w:rsid w:val="00495132"/>
    <w:rsid w:val="00566B99"/>
    <w:rsid w:val="00714725"/>
    <w:rsid w:val="00762512"/>
    <w:rsid w:val="007E7CF4"/>
    <w:rsid w:val="00977FF8"/>
    <w:rsid w:val="009B73E6"/>
    <w:rsid w:val="009D6364"/>
    <w:rsid w:val="009F7A99"/>
    <w:rsid w:val="00A37507"/>
    <w:rsid w:val="00A76129"/>
    <w:rsid w:val="00AC23AE"/>
    <w:rsid w:val="00AE37D1"/>
    <w:rsid w:val="00BE1C58"/>
    <w:rsid w:val="00C766A6"/>
    <w:rsid w:val="00C810B3"/>
    <w:rsid w:val="00C8521F"/>
    <w:rsid w:val="00CC470A"/>
    <w:rsid w:val="00D01854"/>
    <w:rsid w:val="00D15E6F"/>
    <w:rsid w:val="00D67BB1"/>
    <w:rsid w:val="00E2297E"/>
    <w:rsid w:val="00E52EB7"/>
    <w:rsid w:val="00F32182"/>
    <w:rsid w:val="00FC67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941D"/>
  <w15:chartTrackingRefBased/>
  <w15:docId w15:val="{622D46A7-3CB7-41AB-905B-A7952A3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Junca</dc:creator>
  <cp:keywords/>
  <dc:description/>
  <cp:lastModifiedBy>Sandra Jimena Baez Buitrago</cp:lastModifiedBy>
  <cp:revision>34</cp:revision>
  <dcterms:created xsi:type="dcterms:W3CDTF">2021-01-26T16:59:00Z</dcterms:created>
  <dcterms:modified xsi:type="dcterms:W3CDTF">2022-06-15T18:13:00Z</dcterms:modified>
</cp:coreProperties>
</file>