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DF6DF1" w:rsidRPr="00DF6DF1" w14:paraId="439E8239" w14:textId="77777777" w:rsidTr="00832C32">
        <w:tc>
          <w:tcPr>
            <w:tcW w:w="2122" w:type="dxa"/>
          </w:tcPr>
          <w:p w14:paraId="6557005E" w14:textId="77777777" w:rsidR="00441258" w:rsidRPr="00DF6DF1" w:rsidRDefault="00441258" w:rsidP="00693048">
            <w:pPr>
              <w:rPr>
                <w:rFonts w:ascii="Times New Roman" w:hAnsi="Times New Roman" w:cs="Times New Roman"/>
                <w:b/>
              </w:rPr>
            </w:pPr>
            <w:r w:rsidRPr="00DF6DF1">
              <w:rPr>
                <w:rFonts w:ascii="Times New Roman" w:hAnsi="Times New Roman" w:cs="Times New Roman"/>
                <w:b/>
              </w:rPr>
              <w:t>Database</w:t>
            </w:r>
          </w:p>
        </w:tc>
        <w:tc>
          <w:tcPr>
            <w:tcW w:w="7371" w:type="dxa"/>
          </w:tcPr>
          <w:p w14:paraId="55B609B0" w14:textId="77777777" w:rsidR="00441258" w:rsidRPr="00DF6DF1" w:rsidRDefault="00441258" w:rsidP="00832C3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F6DF1">
              <w:rPr>
                <w:rFonts w:ascii="Times New Roman" w:hAnsi="Times New Roman" w:cs="Times New Roman"/>
                <w:b/>
              </w:rPr>
              <w:t>Search terms</w:t>
            </w:r>
          </w:p>
        </w:tc>
      </w:tr>
      <w:tr w:rsidR="00DF6DF1" w:rsidRPr="00DF6DF1" w14:paraId="0E610F32" w14:textId="77777777" w:rsidTr="00832C32">
        <w:tc>
          <w:tcPr>
            <w:tcW w:w="2122" w:type="dxa"/>
          </w:tcPr>
          <w:p w14:paraId="32F6A404" w14:textId="1A3BC42D" w:rsidR="00441258" w:rsidRPr="00DF6DF1" w:rsidRDefault="00441258" w:rsidP="00693048">
            <w:pPr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 xml:space="preserve">CINAHL </w:t>
            </w:r>
          </w:p>
        </w:tc>
        <w:tc>
          <w:tcPr>
            <w:tcW w:w="7371" w:type="dxa"/>
          </w:tcPr>
          <w:p w14:paraId="0ED8DA22" w14:textId="65C94186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Psychometric OR Valid*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Reliab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* OR Consist*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Sensitiv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*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Responsiv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 OR Development* OR Evaluation* OR Conceptual*</w:t>
            </w:r>
          </w:p>
          <w:p w14:paraId="74E3A4B1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0D6C3" w14:textId="5C321389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082444B7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8B63A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Patient reported outcome* OR Patient report* OR Questionnaire* OR Patient reported outcome measure 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term] OR Rating scale* OR Instrument* OR Survey* OR Measure*</w:t>
            </w:r>
          </w:p>
          <w:p w14:paraId="0213BCB2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AA22D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7E4785A1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E6C73" w14:textId="30C1BDCA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Chemotherap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*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Taxane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OR Platinum OR Paclitaxel OR Docetaxel OR Abraxane OR Oxaliplatin OR Cisplatin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Ixazomib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OR Carfilzomib OR Thalidomide OR Lenalidomide OR Pomalidomide </w:t>
            </w:r>
          </w:p>
          <w:p w14:paraId="139AAAA1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768CD" w14:textId="46CD3621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49A270B8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8F641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Chemotherapy induced peripheral neuropathy OR Neuropath*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Neurotox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 OR CIPN</w:t>
            </w:r>
          </w:p>
          <w:p w14:paraId="5155784A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CA0C9" w14:textId="610B7719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Filter</w:t>
            </w:r>
            <w:r w:rsidR="00F3453D" w:rsidRPr="00DF6D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- Full text availability, English language, human studies</w:t>
            </w:r>
          </w:p>
        </w:tc>
      </w:tr>
      <w:tr w:rsidR="00DF6DF1" w:rsidRPr="00DF6DF1" w14:paraId="55ACF85F" w14:textId="77777777" w:rsidTr="00832C32">
        <w:tc>
          <w:tcPr>
            <w:tcW w:w="2122" w:type="dxa"/>
          </w:tcPr>
          <w:p w14:paraId="3C90B247" w14:textId="1AA002D0" w:rsidR="00441258" w:rsidRPr="00DF6DF1" w:rsidRDefault="00441258" w:rsidP="00693048">
            <w:pPr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 xml:space="preserve">Cochrane Library </w:t>
            </w:r>
          </w:p>
        </w:tc>
        <w:tc>
          <w:tcPr>
            <w:tcW w:w="7371" w:type="dxa"/>
          </w:tcPr>
          <w:p w14:paraId="55EDC469" w14:textId="200906A1" w:rsidR="00441258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0A4D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Psychometric OR Valid* OR </w:t>
            </w:r>
            <w:proofErr w:type="spellStart"/>
            <w:r w:rsidR="00360A4D" w:rsidRPr="00DF6DF1">
              <w:rPr>
                <w:rFonts w:ascii="Times New Roman" w:hAnsi="Times New Roman" w:cs="Times New Roman"/>
                <w:sz w:val="20"/>
                <w:szCs w:val="20"/>
              </w:rPr>
              <w:t>Reliab</w:t>
            </w:r>
            <w:proofErr w:type="spellEnd"/>
            <w:r w:rsidR="00360A4D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* OR Consist* OR </w:t>
            </w:r>
            <w:proofErr w:type="spellStart"/>
            <w:r w:rsidR="00360A4D" w:rsidRPr="00DF6DF1">
              <w:rPr>
                <w:rFonts w:ascii="Times New Roman" w:hAnsi="Times New Roman" w:cs="Times New Roman"/>
                <w:sz w:val="20"/>
                <w:szCs w:val="20"/>
              </w:rPr>
              <w:t>Sensitiv</w:t>
            </w:r>
            <w:proofErr w:type="spellEnd"/>
            <w:r w:rsidR="00360A4D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* OR </w:t>
            </w:r>
            <w:proofErr w:type="spellStart"/>
            <w:r w:rsidR="00360A4D" w:rsidRPr="00DF6DF1">
              <w:rPr>
                <w:rFonts w:ascii="Times New Roman" w:hAnsi="Times New Roman" w:cs="Times New Roman"/>
                <w:sz w:val="20"/>
                <w:szCs w:val="20"/>
              </w:rPr>
              <w:t>Responsiv</w:t>
            </w:r>
            <w:proofErr w:type="spellEnd"/>
            <w:r w:rsidR="00360A4D" w:rsidRPr="00DF6DF1">
              <w:rPr>
                <w:rFonts w:ascii="Times New Roman" w:hAnsi="Times New Roman" w:cs="Times New Roman"/>
                <w:sz w:val="20"/>
                <w:szCs w:val="20"/>
              </w:rPr>
              <w:t>* OR Development* OR Evaluation* OR Conceptual*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DED12A" w14:textId="77777777" w:rsidR="00360A4D" w:rsidRPr="00DF6DF1" w:rsidRDefault="00360A4D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C5CDE" w14:textId="77777777" w:rsidR="00360A4D" w:rsidRPr="00DF6DF1" w:rsidRDefault="00360A4D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417384AA" w14:textId="77777777" w:rsidR="00360A4D" w:rsidRPr="00DF6DF1" w:rsidRDefault="00360A4D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7DC00" w14:textId="3473178E" w:rsidR="00360A4D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(Patient reported outcome* OR Patient report* OR Questionnaire* OR Patient reported outcome measure [exp] OR Rating scale* OR Instrument* OR Survey* OR Measure*)</w:t>
            </w:r>
          </w:p>
          <w:p w14:paraId="0E8B545F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1F81D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5BB93298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48E92" w14:textId="6735ADFD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Chemotherap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 OR Antineoplastic Agents 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Taxane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OR Platinum OR Paclitaxel OR Docetaxel OR Abraxane OR Oxaliplatin OR Cisplatin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Ixazomib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OR Carfilzomib OR Thalidomide OR Lenalidomide OR Pomalidomide)</w:t>
            </w:r>
          </w:p>
          <w:p w14:paraId="6822C827" w14:textId="77CB2FC9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53645" w14:textId="7C91135C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64A0BC63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3FB80" w14:textId="1C36E156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(Chemotherapy induced peripheral neuropathy OR Neuropath*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Neurotox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 OR CIPN OR Neurotoxicity Syndromes 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term])</w:t>
            </w:r>
          </w:p>
          <w:p w14:paraId="427C07F0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861CE" w14:textId="2A725C40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Filters: Full text availability, English language, human studies</w:t>
            </w:r>
          </w:p>
        </w:tc>
      </w:tr>
      <w:tr w:rsidR="00DF6DF1" w:rsidRPr="00DF6DF1" w14:paraId="5AA508D4" w14:textId="77777777" w:rsidTr="00832C32">
        <w:tc>
          <w:tcPr>
            <w:tcW w:w="2122" w:type="dxa"/>
          </w:tcPr>
          <w:p w14:paraId="67C13ADD" w14:textId="0798A900" w:rsidR="00832C32" w:rsidRPr="00DF6DF1" w:rsidRDefault="00832C32" w:rsidP="00832C32">
            <w:pPr>
              <w:rPr>
                <w:rFonts w:ascii="Times New Roman" w:hAnsi="Times New Roman" w:cs="Times New Roman"/>
              </w:rPr>
            </w:pPr>
            <w:proofErr w:type="spellStart"/>
            <w:r w:rsidRPr="00DF6DF1">
              <w:rPr>
                <w:rFonts w:ascii="Times New Roman" w:hAnsi="Times New Roman" w:cs="Times New Roman"/>
              </w:rPr>
              <w:t>Embase</w:t>
            </w:r>
            <w:proofErr w:type="spellEnd"/>
          </w:p>
        </w:tc>
        <w:tc>
          <w:tcPr>
            <w:tcW w:w="7371" w:type="dxa"/>
          </w:tcPr>
          <w:p w14:paraId="79CAD518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Psychometric OR Valid*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Reliab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* OR Consist*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Sensitiv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*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Responsiv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 OR Development* OR Evaluation* OR Conceptual*</w:t>
            </w:r>
          </w:p>
          <w:p w14:paraId="755DE790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9643E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67D76BC6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E6F2F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Patient reported outcome* OR Patient report* OR Questionnaire* OR Patient reported outcome measure 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term] OR Rating scale* OR Instrument* OR Survey* OR Measure*</w:t>
            </w:r>
          </w:p>
          <w:p w14:paraId="320C3943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D9B5B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313DA7A2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4C6D2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Chemotherap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*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Taxane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OR Platinum OR Paclitaxel OR Docetaxel OR Abraxane OR Oxaliplatin OR Cisplatin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Ixazomib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OR Carfilzomib OR Thalidomide OR Lenalidomide OR Pomalidomide </w:t>
            </w:r>
          </w:p>
          <w:p w14:paraId="405C3F61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844F4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287A20E1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C2237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Chemotherapy induced peripheral neuropathy OR Neuropath*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Neurotox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 OR CIPN</w:t>
            </w:r>
          </w:p>
          <w:p w14:paraId="33C986F3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F9BB3" w14:textId="31B8F4C4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Filter</w:t>
            </w:r>
            <w:r w:rsidR="00F3453D" w:rsidRPr="00DF6D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- Full text availability, English language, human studies</w:t>
            </w:r>
          </w:p>
        </w:tc>
      </w:tr>
      <w:tr w:rsidR="00DF6DF1" w:rsidRPr="00DF6DF1" w14:paraId="69CA3476" w14:textId="77777777" w:rsidTr="00832C32">
        <w:tc>
          <w:tcPr>
            <w:tcW w:w="2122" w:type="dxa"/>
          </w:tcPr>
          <w:p w14:paraId="08508EF3" w14:textId="5ECA8421" w:rsidR="00832C32" w:rsidRPr="00DF6DF1" w:rsidRDefault="00832C32" w:rsidP="00832C32">
            <w:pPr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PubMed</w:t>
            </w:r>
          </w:p>
        </w:tc>
        <w:tc>
          <w:tcPr>
            <w:tcW w:w="7371" w:type="dxa"/>
          </w:tcPr>
          <w:p w14:paraId="3CD3BE65" w14:textId="39D8D7C6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"Psychometric"[Title/Abstract] OR "valid*"[Title/Abstract]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reliab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*"[Title/Abstract] OR "consist*"[Title/Abstract]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sensitiv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*"[Title/Abstract]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responsiv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*"[Title/Abstract] OR "development*"[Title/Abstract] OR "evaluation*"[Title/Abstract] OR "conceptual*"[Title/Abstract]</w:t>
            </w:r>
          </w:p>
          <w:p w14:paraId="4EDAA15E" w14:textId="346D7634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C87AC" w14:textId="79EB8EA2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4C5EBB4A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35913" w14:textId="4D0D0F62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patient reported outcome*"[Title/Abstract] OR "patient report*"[Title/Abstract] OR "questionnaire*"[Title/Abstract] OR "patient reported outcome measures"[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Terms] OR "patient reported outcome*"[Title/Abstract] OR "rating scale*"[Title/Abstract] OR "instrument*"[Title/Abstract] OR "survey*"[Title/Abstract] OR "measure*"[Title/Abstract]</w:t>
            </w:r>
          </w:p>
          <w:p w14:paraId="09140882" w14:textId="609717E6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CC6FF" w14:textId="66A45825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49D6824B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280F2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chemotherap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*"[Title/Abstract] OR "antineoplastic agents"[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Terms] OR "antineoplastic agents"[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Terms]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Taxane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"[Title/Abstract] OR "Platinum"[Title/Abstract] OR "Paclitaxel"[Title/Abstract] OR "Docetaxel"[Title/Abstract] OR "Abraxane"[Title/Abstract] OR "Oxaliplatin"[Title/Abstract] OR "Cisplatin"[Title/Abstract]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"[Title/Abstract]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Ixazomib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"[Title/Abstract] OR "Carfilzomib"[Title/Abstract] OR "Thalidomide"[Title/Abstract] OR "Lenalidomide"[Title/Abstract] OR "Pomalidomide"[Title/Abstract] OR "vinca alkaloid*"[Title/Abstract] OR "Vincristine"[Title/Abstract]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brentuximab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vedotin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"[Title/Abstract]</w:t>
            </w:r>
          </w:p>
          <w:p w14:paraId="58578263" w14:textId="5CCBCCB8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99007" w14:textId="2980A09A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44B78CE3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3A212" w14:textId="47373C5A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"chemotherapy induced peripheral neuropathy"[Title/Abstract] OR "neuropath*"[Title/Abstract]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neurotox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*"[Title/Abstract] OR "CIPN"[Title/Abstract] OR "neurotoxicity syndromes"[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Terms]</w:t>
            </w:r>
          </w:p>
          <w:p w14:paraId="2D13259C" w14:textId="52968E23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FDBA7" w14:textId="2B21592C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Limits: Full text, human studies, English language</w:t>
            </w:r>
          </w:p>
        </w:tc>
      </w:tr>
      <w:tr w:rsidR="00DF6DF1" w:rsidRPr="00DF6DF1" w14:paraId="35E339B9" w14:textId="77777777" w:rsidTr="00832C32">
        <w:tc>
          <w:tcPr>
            <w:tcW w:w="2122" w:type="dxa"/>
          </w:tcPr>
          <w:p w14:paraId="0D4B85D0" w14:textId="5FC24C78" w:rsidR="00832C32" w:rsidRPr="00DF6DF1" w:rsidRDefault="00832C32" w:rsidP="00832C32">
            <w:pPr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7371" w:type="dxa"/>
          </w:tcPr>
          <w:p w14:paraId="42D4C254" w14:textId="7737AFA3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TITLE-ABS (psychometric) OR TITLE-ABS (valid*) OR TITLE-ABS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reliab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*) OR TITLE-ABS (consist*) OR TITLE-ABS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sensitiv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*) OR TITLE-ABS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responsiv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*) OR TITLE-ABS (development*) OR TITLE-ABS (evaluation*) OR TITLE-ABS (conceptual*) </w:t>
            </w:r>
          </w:p>
          <w:p w14:paraId="772FDEAA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E0AE9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AND  </w:t>
            </w:r>
          </w:p>
          <w:p w14:paraId="38753688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9C77E" w14:textId="7B1B1890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TITLE-ABS (patient AND reported AND outcome*) OR TITLE-ABS (patient AND report*) OR TITLE-ABS (questionnaire*) OR TITLE-ABS (rating AND scale*) OR TITLE-ABS (instrument*) OR TITLE-ABS (survey*) OR TITLE-ABS (measure*)</w:t>
            </w:r>
          </w:p>
          <w:p w14:paraId="0926ED37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7128D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4E3F6E35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3CFED" w14:textId="5EDEC0EC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TITLE-ABS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chemotherap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*) OR TITLE-ABS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taxane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) OR TITLE-ABS (platinum) OR TITLE-ABS (paclitaxel) OR TITLE-ABS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docetaxe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) OR TITLE-ABS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abraxane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) OR TITLE-ABS (oxaliplatin) OR TITLE-ABS (cisplatin) OR TITLE-ABS (bortezomib) OR TITLE-ABS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ixazomi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) OR TITLE-ABS (carfilzomib) OR TITLE-ABS (thalidomide) OR TITLE-ABS (lenalidomide) OR TITLE-ABS (pomalidomide) OR TITLE-ABS (vinca  AND alkaloid*) OR TITLE-ABS (vincristine) OR TITLE-ABS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brentuximab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vedotin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FCADC8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3C711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5518C937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C2E81" w14:textId="33346AB3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TITLE-ABS (chemotherapy AND induced AND peripheral AND neuropathy) OR TITLE-ABS (neuropath*) OR TITLE-ABS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neurotox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*) OR TITLE-ABS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cipn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29C0D771" w14:textId="77777777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41841" w14:textId="6615D5F3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Limits: Research article, English language</w:t>
            </w:r>
          </w:p>
        </w:tc>
      </w:tr>
      <w:tr w:rsidR="00DF6DF1" w:rsidRPr="00DF6DF1" w14:paraId="2841DD24" w14:textId="77777777" w:rsidTr="00832C32">
        <w:tc>
          <w:tcPr>
            <w:tcW w:w="2122" w:type="dxa"/>
          </w:tcPr>
          <w:p w14:paraId="523BC681" w14:textId="0A49F482" w:rsidR="00832C32" w:rsidRPr="00DF6DF1" w:rsidRDefault="00832C32" w:rsidP="00832C32">
            <w:pPr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PROQOLID</w:t>
            </w:r>
          </w:p>
        </w:tc>
        <w:tc>
          <w:tcPr>
            <w:tcW w:w="7371" w:type="dxa"/>
          </w:tcPr>
          <w:p w14:paraId="5A3B192E" w14:textId="0CE54900" w:rsidR="00832C32" w:rsidRPr="00DF6DF1" w:rsidRDefault="00832C32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Chemotherapy neuropathy</w:t>
            </w:r>
          </w:p>
        </w:tc>
      </w:tr>
      <w:tr w:rsidR="00B32A2E" w:rsidRPr="00DF6DF1" w14:paraId="4ABC1AA5" w14:textId="77777777" w:rsidTr="00832C32">
        <w:tc>
          <w:tcPr>
            <w:tcW w:w="2122" w:type="dxa"/>
          </w:tcPr>
          <w:p w14:paraId="47A735A7" w14:textId="6157697F" w:rsidR="00B32A2E" w:rsidRPr="00DF6DF1" w:rsidRDefault="00DC711C" w:rsidP="00832C32">
            <w:pPr>
              <w:rPr>
                <w:rFonts w:ascii="Times New Roman" w:hAnsi="Times New Roman" w:cs="Times New Roman"/>
                <w:lang w:val="en-US"/>
              </w:rPr>
            </w:pPr>
            <w:r w:rsidRPr="00DF6DF1">
              <w:rPr>
                <w:rFonts w:ascii="Times New Roman" w:hAnsi="Times New Roman" w:cs="Times New Roman"/>
                <w:lang w:val="en-US"/>
              </w:rPr>
              <w:t xml:space="preserve">PubMed </w:t>
            </w:r>
            <w:r w:rsidR="00F92842" w:rsidRPr="00DF6DF1">
              <w:rPr>
                <w:rFonts w:ascii="Times New Roman" w:hAnsi="Times New Roman" w:cs="Times New Roman"/>
                <w:lang w:val="en-US"/>
              </w:rPr>
              <w:t>using validated</w:t>
            </w:r>
            <w:r w:rsidRPr="00DF6DF1">
              <w:rPr>
                <w:rFonts w:ascii="Times New Roman" w:hAnsi="Times New Roman" w:cs="Times New Roman"/>
                <w:lang w:val="en-US"/>
              </w:rPr>
              <w:t xml:space="preserve"> filter developed by COSMIN researchers</w:t>
            </w:r>
            <w:r w:rsidR="002039AF" w:rsidRPr="00DF6D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C04B9" w:rsidRPr="00DF6DF1">
              <w:rPr>
                <w:rFonts w:ascii="Times New Roman" w:hAnsi="Times New Roman" w:cs="Times New Roman"/>
                <w:lang w:val="en-US"/>
              </w:rPr>
              <w:t>[12]</w:t>
            </w:r>
          </w:p>
          <w:p w14:paraId="71772685" w14:textId="77777777" w:rsidR="00D8508A" w:rsidRPr="00DF6DF1" w:rsidRDefault="00D8508A" w:rsidP="00832C32">
            <w:pPr>
              <w:rPr>
                <w:rFonts w:ascii="Times New Roman" w:hAnsi="Times New Roman" w:cs="Times New Roman"/>
                <w:lang w:val="en-US"/>
              </w:rPr>
            </w:pPr>
          </w:p>
          <w:p w14:paraId="5C32D6C2" w14:textId="2ADC528B" w:rsidR="00D8508A" w:rsidRPr="00DF6DF1" w:rsidRDefault="00D8508A" w:rsidP="00832C32">
            <w:pPr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To ensure a comprehensive review an updated search was completed on 16 December 2021 using the COSMIN validated search filter</w:t>
            </w:r>
          </w:p>
        </w:tc>
        <w:tc>
          <w:tcPr>
            <w:tcW w:w="7371" w:type="dxa"/>
          </w:tcPr>
          <w:p w14:paraId="4D67DECD" w14:textId="77777777" w:rsidR="00A95906" w:rsidRPr="00DF6DF1" w:rsidRDefault="00A95906" w:rsidP="00A95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"chemotherapy induced peripheral neuropathy"[Title/Abstract] OR "neuropath*"[Title/Abstract]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neurotox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*"[Title/Abstract] OR "CIPN"[Title/Abstract] OR "neurotoxicity syndromes"[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Terms]</w:t>
            </w:r>
          </w:p>
          <w:p w14:paraId="3B5A2062" w14:textId="77777777" w:rsidR="00A95906" w:rsidRPr="00DF6DF1" w:rsidRDefault="00A95906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0AF24" w14:textId="77777777" w:rsidR="00A95906" w:rsidRPr="00DF6DF1" w:rsidRDefault="00A95906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7090DF56" w14:textId="77777777" w:rsidR="00A95906" w:rsidRPr="00DF6DF1" w:rsidRDefault="00A95906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72F7" w14:textId="77777777" w:rsidR="00A95906" w:rsidRPr="00DF6DF1" w:rsidRDefault="00A95906" w:rsidP="00A95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chemotherap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*"[Title/Abstract] OR "antineoplastic agents"[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Terms] OR "antineoplastic agents"[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Terms]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Taxane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"[Title/Abstract] OR "Platinum"[Title/Abstract] OR "Paclitaxel"[Title/Abstract] OR "Docetaxel"[Title/Abstract] OR "Abraxane"[Title/Abstract] OR "Oxaliplatin"[Title/Abstract] OR "Cisplatin"[Title/Abstract]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"[Title/Abstract]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Ixazomib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"[Title/Abstract] OR "Carfilzomib"[Title/Abstract] OR "Thalidomide"[Title/Abstract] OR "Lenalidomide"[Title/Abstract] OR "Pomalidomide"[Title/Abstract] OR "vinca alkaloid*"[Title/Abstract] OR "Vincristine"[Title/Abstract] OR "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brentuximab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vedotin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"[Title/Abstract]</w:t>
            </w:r>
          </w:p>
          <w:p w14:paraId="7C78787C" w14:textId="77777777" w:rsidR="00A95906" w:rsidRPr="00DF6DF1" w:rsidRDefault="00A95906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2DB53" w14:textId="77777777" w:rsidR="00A95906" w:rsidRPr="00DF6DF1" w:rsidRDefault="00A95906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63C2B463" w14:textId="77777777" w:rsidR="009E3901" w:rsidRPr="00DF6DF1" w:rsidRDefault="009E3901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F251D" w14:textId="77777777" w:rsidR="009E3901" w:rsidRPr="00DF6DF1" w:rsidRDefault="009E3901" w:rsidP="009E39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patient reported outcome*"[Title/Abstract] OR "patient report*"[Title/Abstract] OR "questionnaire*"[Title/Abstract] OR "patient reported outcome measures"[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Terms] OR "patient reported outcome*"[Title/Abstract] OR "rating scale*"[Title/Abstract] OR "instrument*"[Title/Abstract] OR "survey*"[Title/Abstract] OR "measure*"[Title/Abstract]</w:t>
            </w:r>
          </w:p>
          <w:p w14:paraId="2D05BC5C" w14:textId="77777777" w:rsidR="009E3901" w:rsidRPr="00DF6DF1" w:rsidRDefault="009E3901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E688A" w14:textId="3DEF697F" w:rsidR="009E3901" w:rsidRPr="00DF6DF1" w:rsidRDefault="009E3901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24AF1105" w14:textId="77777777" w:rsidR="00041C5E" w:rsidRPr="00DF6DF1" w:rsidRDefault="00041C5E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9B819" w14:textId="77777777" w:rsidR="009E3901" w:rsidRPr="00DF6DF1" w:rsidRDefault="009E3901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(instrumentation[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methods[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“Validation Studies”[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“Comparative Study”[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“psychometrics”[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psychometr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clinimetr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clinometr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“outcome assessment (health care)”[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“outcome assessment”[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“outcome measure*”[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“observer variation”[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“observer variation”[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“Health Status Indicators”[Mesh] OR “reproducibility of results”[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reproducib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“discriminant analysis”[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reliab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unreliab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valid*[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“coefficient of variation”[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coefficient[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homogeneity[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homogeneous[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“internal consistency”[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AND (alpha[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alphas[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])) OR (item[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AND (correlation*[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selection*[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reduction*[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])) OR agreement[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precision[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imprecision[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“precise values”[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test-retest[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(test[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AND retest[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 OR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reliab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AND (test[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retest[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])) OR stability[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interrater[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inter-rater[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intrarater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intra-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rater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intertester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inter-tester[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intratester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intra-tester[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interobserver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inter-observer[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intraobserver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intra-observer[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intertechnician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inter-technician[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intratechnician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intra-technician[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interexaminer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inter-examiner[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intraexaminer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intra-examiner[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interassay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inter-assay[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intraassay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intra-assay[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interindividual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inter-individual[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intraindividual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intra-individual[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interparticipant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inter-participant[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intraparticipant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intra-participant[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kappa[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kappa’s[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kappas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repeatab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((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replicab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repeated[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 AND (measure[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measures[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findings[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result[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results[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test[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tests[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]))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generaliza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generalisa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concordance[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intraclass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AND correlation*[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 OR discriminative[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“known group”[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“factor analysis”[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“factor analyses”[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“factor structure”[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“factor structures”[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dimension*[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subscale*[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multitrait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AND scaling[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AND (analysis[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analyses[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])) OR “item discriminant”[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interscale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correlation*”[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error[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errors[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“individual variability”[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“interval variability”[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“rate variability”[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(variability[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AND (analysis[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values[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])) OR (uncertainty[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AND (measurement[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measuring[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])) OR “standard error of measurement”[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sensitiv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responsive*[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(limit[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AND detection[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 OR “minimal detectable concentration”[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interpretab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((minimal[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minimally[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clinical[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clinically[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 AND (important[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significant[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detectable[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 AND (change[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difference[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])) OR (small*[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AND (real[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detectable[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 AND (change[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difference[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])) OR “meaningful change”[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“ceiling effect”[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“floor effect”[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“Item response model”[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IRT[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Rasch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“Differential item functioning”[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DIF[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“computer adaptive testing”[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“item bank”[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 OR “cross-cultural equivalence”[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])</w:t>
            </w:r>
          </w:p>
          <w:p w14:paraId="4BDF641E" w14:textId="77777777" w:rsidR="009E3901" w:rsidRPr="00DF6DF1" w:rsidRDefault="009E3901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545B0" w14:textId="77777777" w:rsidR="009E3901" w:rsidRPr="00DF6DF1" w:rsidRDefault="009E3901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14:paraId="2AC90683" w14:textId="77777777" w:rsidR="00041C5E" w:rsidRPr="00DF6DF1" w:rsidRDefault="00041C5E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6814C" w14:textId="77777777" w:rsidR="00041C5E" w:rsidRPr="00DF6DF1" w:rsidRDefault="00041C5E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(“addresses”[Publication Type] OR “biography”[Publication Type] OR “case reports”[Publication Type] OR “comment”[Publication Type] OR “directory”[Publication Type] OR “editorial”[Publication Type] OR “festschrift”[Publication Type] OR “interview”[Publication Type] OR “lectures”[Publication Type] OR “legal cases”[Publication Type] OR “legislation”[Publication Type] OR “letter”[Publication Type] OR “news”[Publication Type] OR “newspaper article”[Publication Type] OR “patient education handout”[Publication Type] OR “popular works”[Publication Type] OR “congresses”[Publication Type] OR “consensus development conference”[Publication Type] OR “consensus development conference,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nih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”[Publication Type] OR “practice guideline”[Publication Type]) NOT (“animals”[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Terms] NOT “humans”[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Terms])</w:t>
            </w:r>
          </w:p>
          <w:p w14:paraId="2EBEBD87" w14:textId="77777777" w:rsidR="00D8508A" w:rsidRPr="00DF6DF1" w:rsidRDefault="00D8508A" w:rsidP="00832C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5BACD" w14:textId="6679ACCC" w:rsidR="00D8508A" w:rsidRPr="00DF6DF1" w:rsidRDefault="00D8508A" w:rsidP="00832C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Limits: Full text, human studies, English language</w:t>
            </w:r>
          </w:p>
        </w:tc>
      </w:tr>
    </w:tbl>
    <w:p w14:paraId="15A4BEEF" w14:textId="3BCE902F" w:rsidR="00CD4378" w:rsidRPr="00DF6DF1" w:rsidRDefault="00DF6DF1">
      <w:pPr>
        <w:rPr>
          <w:rFonts w:ascii="Times New Roman" w:hAnsi="Times New Roman" w:cs="Times New Roman"/>
        </w:rPr>
      </w:pPr>
    </w:p>
    <w:p w14:paraId="444DD97B" w14:textId="77777777" w:rsidR="000B3289" w:rsidRPr="00DF6DF1" w:rsidRDefault="00003563">
      <w:pPr>
        <w:rPr>
          <w:rFonts w:ascii="Times New Roman" w:hAnsi="Times New Roman" w:cs="Times New Roman"/>
          <w:b/>
          <w:bCs/>
        </w:rPr>
        <w:sectPr w:rsidR="000B3289" w:rsidRPr="00DF6DF1" w:rsidSect="00DF6DF1">
          <w:type w:val="continuous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  <w:r w:rsidRPr="00DF6DF1">
        <w:rPr>
          <w:rFonts w:ascii="Times New Roman" w:hAnsi="Times New Roman" w:cs="Times New Roman"/>
          <w:b/>
          <w:bCs/>
        </w:rPr>
        <w:t>S1-</w:t>
      </w:r>
      <w:r w:rsidR="00AF0801" w:rsidRPr="00DF6DF1">
        <w:rPr>
          <w:rFonts w:ascii="Times New Roman" w:hAnsi="Times New Roman" w:cs="Times New Roman"/>
          <w:b/>
          <w:bCs/>
        </w:rPr>
        <w:t xml:space="preserve"> Search Strategy</w:t>
      </w:r>
    </w:p>
    <w:p w14:paraId="7E7E27A6" w14:textId="134DDCDE" w:rsidR="00AF0801" w:rsidRPr="00DF6DF1" w:rsidRDefault="00AF0801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4649" w:type="dxa"/>
        <w:tblLook w:val="04A0" w:firstRow="1" w:lastRow="0" w:firstColumn="1" w:lastColumn="0" w:noHBand="0" w:noVBand="1"/>
      </w:tblPr>
      <w:tblGrid>
        <w:gridCol w:w="3966"/>
        <w:gridCol w:w="5955"/>
        <w:gridCol w:w="4728"/>
      </w:tblGrid>
      <w:tr w:rsidR="00DF6DF1" w:rsidRPr="00DF6DF1" w14:paraId="35C748A4" w14:textId="4571A370" w:rsidTr="00DF1406">
        <w:trPr>
          <w:trHeight w:val="375"/>
        </w:trPr>
        <w:tc>
          <w:tcPr>
            <w:tcW w:w="3966" w:type="dxa"/>
          </w:tcPr>
          <w:p w14:paraId="742D477A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Measurement Property</w:t>
            </w:r>
          </w:p>
        </w:tc>
        <w:tc>
          <w:tcPr>
            <w:tcW w:w="5955" w:type="dxa"/>
          </w:tcPr>
          <w:p w14:paraId="081C03B7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Definition</w:t>
            </w:r>
          </w:p>
        </w:tc>
        <w:tc>
          <w:tcPr>
            <w:tcW w:w="4728" w:type="dxa"/>
          </w:tcPr>
          <w:p w14:paraId="3397D542" w14:textId="5E61422B" w:rsidR="000B3289" w:rsidRPr="00DF6DF1" w:rsidRDefault="00AF4E55" w:rsidP="003E275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 xml:space="preserve">Assessment </w:t>
            </w:r>
            <w:r w:rsidR="00EA0923" w:rsidRPr="00DF6DF1">
              <w:rPr>
                <w:rFonts w:ascii="Times New Roman" w:hAnsi="Times New Roman" w:cs="Times New Roman"/>
                <w:b/>
                <w:bCs/>
              </w:rPr>
              <w:t>Criteria</w:t>
            </w:r>
          </w:p>
        </w:tc>
      </w:tr>
      <w:tr w:rsidR="00DF6DF1" w:rsidRPr="00DF6DF1" w14:paraId="5849A63D" w14:textId="5C5D17AE" w:rsidTr="00DF1406">
        <w:trPr>
          <w:trHeight w:val="725"/>
        </w:trPr>
        <w:tc>
          <w:tcPr>
            <w:tcW w:w="3966" w:type="dxa"/>
          </w:tcPr>
          <w:p w14:paraId="393A8828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Content validity</w:t>
            </w:r>
          </w:p>
        </w:tc>
        <w:tc>
          <w:tcPr>
            <w:tcW w:w="5955" w:type="dxa"/>
          </w:tcPr>
          <w:p w14:paraId="15863270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The degree to which the content of a PROM is an adequate reflection of the construct to be measured</w:t>
            </w:r>
          </w:p>
        </w:tc>
        <w:tc>
          <w:tcPr>
            <w:tcW w:w="4728" w:type="dxa"/>
          </w:tcPr>
          <w:p w14:paraId="7A6242E0" w14:textId="1D1AFD59" w:rsidR="000B3289" w:rsidRPr="00DF6DF1" w:rsidRDefault="00123E9D" w:rsidP="00123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Items of the PROM are relevant, comprehensive, and comprehensible. PROM development study, the quality and results of</w:t>
            </w:r>
            <w:r w:rsidR="000D318B" w:rsidRPr="00DF6DF1">
              <w:rPr>
                <w:rFonts w:ascii="Times New Roman" w:hAnsi="Times New Roman" w:cs="Times New Roman"/>
              </w:rPr>
              <w:t xml:space="preserve"> </w:t>
            </w:r>
            <w:r w:rsidRPr="00DF6DF1">
              <w:rPr>
                <w:rFonts w:ascii="Times New Roman" w:hAnsi="Times New Roman" w:cs="Times New Roman"/>
              </w:rPr>
              <w:t>additional content validity studies on the PROMs (if available), and a subjective rating of</w:t>
            </w:r>
            <w:r w:rsidR="000D318B" w:rsidRPr="00DF6DF1">
              <w:rPr>
                <w:rFonts w:ascii="Times New Roman" w:hAnsi="Times New Roman" w:cs="Times New Roman"/>
              </w:rPr>
              <w:t xml:space="preserve"> </w:t>
            </w:r>
            <w:r w:rsidRPr="00DF6DF1">
              <w:rPr>
                <w:rFonts w:ascii="Times New Roman" w:hAnsi="Times New Roman" w:cs="Times New Roman"/>
              </w:rPr>
              <w:t>the content of the PROMs by the reviewers is taken into account</w:t>
            </w:r>
          </w:p>
        </w:tc>
      </w:tr>
      <w:tr w:rsidR="00DF6DF1" w:rsidRPr="00DF6DF1" w14:paraId="2730B45C" w14:textId="1D8B0DBC" w:rsidTr="00DF1406">
        <w:trPr>
          <w:trHeight w:val="792"/>
        </w:trPr>
        <w:tc>
          <w:tcPr>
            <w:tcW w:w="3966" w:type="dxa"/>
          </w:tcPr>
          <w:p w14:paraId="1C7B4ACE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Structural validity</w:t>
            </w:r>
          </w:p>
        </w:tc>
        <w:tc>
          <w:tcPr>
            <w:tcW w:w="5955" w:type="dxa"/>
          </w:tcPr>
          <w:p w14:paraId="40F16FBE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The degree to which the scores of a PROM are an adequate</w:t>
            </w:r>
          </w:p>
          <w:p w14:paraId="09589AA0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reflection of the dimensionality of the construct to be measured</w:t>
            </w:r>
          </w:p>
        </w:tc>
        <w:tc>
          <w:tcPr>
            <w:tcW w:w="4728" w:type="dxa"/>
          </w:tcPr>
          <w:p w14:paraId="7A9AB9BD" w14:textId="312C04A4" w:rsidR="000B3289" w:rsidRPr="00DF6DF1" w:rsidRDefault="00C505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 xml:space="preserve">Confirmatory Factor Analysis (CFA): </w:t>
            </w:r>
            <w:r w:rsidR="00EB74EE" w:rsidRPr="00DF6DF1">
              <w:rPr>
                <w:rFonts w:ascii="Times New Roman" w:hAnsi="Times New Roman" w:cs="Times New Roman"/>
              </w:rPr>
              <w:t>Comparative fit index (CFI)</w:t>
            </w:r>
            <w:r w:rsidR="005D1582" w:rsidRPr="00DF6DF1">
              <w:rPr>
                <w:rFonts w:ascii="Times New Roman" w:hAnsi="Times New Roman" w:cs="Times New Roman"/>
              </w:rPr>
              <w:t xml:space="preserve"> </w:t>
            </w:r>
            <w:r w:rsidR="009D276A" w:rsidRPr="00DF6DF1">
              <w:rPr>
                <w:rFonts w:ascii="Times New Roman" w:hAnsi="Times New Roman" w:cs="Times New Roman"/>
              </w:rPr>
              <w:t xml:space="preserve">or Tucker‐Lewis index </w:t>
            </w:r>
            <w:r w:rsidR="003A4055" w:rsidRPr="00DF6DF1">
              <w:rPr>
                <w:rFonts w:ascii="Times New Roman" w:hAnsi="Times New Roman" w:cs="Times New Roman"/>
              </w:rPr>
              <w:t xml:space="preserve">(TLI) </w:t>
            </w:r>
            <w:r w:rsidR="009D276A" w:rsidRPr="00DF6DF1">
              <w:rPr>
                <w:rFonts w:ascii="Times New Roman" w:hAnsi="Times New Roman" w:cs="Times New Roman"/>
              </w:rPr>
              <w:t>or comparable measure</w:t>
            </w:r>
            <w:r w:rsidR="00EB74EE" w:rsidRPr="00DF6DF1">
              <w:rPr>
                <w:rFonts w:ascii="Times New Roman" w:hAnsi="Times New Roman" w:cs="Times New Roman"/>
              </w:rPr>
              <w:t xml:space="preserve"> &gt;0.95 or root mean square error of approximation (RMSEA) &lt;0.06</w:t>
            </w:r>
          </w:p>
        </w:tc>
      </w:tr>
      <w:tr w:rsidR="00DF6DF1" w:rsidRPr="00DF6DF1" w14:paraId="6C5171C6" w14:textId="60EE806D" w:rsidTr="00DF1406">
        <w:trPr>
          <w:trHeight w:val="750"/>
        </w:trPr>
        <w:tc>
          <w:tcPr>
            <w:tcW w:w="3966" w:type="dxa"/>
          </w:tcPr>
          <w:p w14:paraId="1283E4CC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Internal consistency reliability</w:t>
            </w:r>
          </w:p>
        </w:tc>
        <w:tc>
          <w:tcPr>
            <w:tcW w:w="5955" w:type="dxa"/>
          </w:tcPr>
          <w:p w14:paraId="68ED2280" w14:textId="72B92A84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The degree of the interrelatedness among the items</w:t>
            </w:r>
            <w:r w:rsidR="00AF4E55" w:rsidRPr="00DF6D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8" w:type="dxa"/>
          </w:tcPr>
          <w:p w14:paraId="38C1B07D" w14:textId="537742F5" w:rsidR="000B3289" w:rsidRPr="00DF6DF1" w:rsidRDefault="007C50F2" w:rsidP="007C5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At least low evidence for sufficient structural validity AND Cronbach's alpha(s) ≥ 0.70 for each unidimensional scale or subscale</w:t>
            </w:r>
          </w:p>
        </w:tc>
      </w:tr>
      <w:tr w:rsidR="00DF6DF1" w:rsidRPr="00DF6DF1" w14:paraId="1957BA47" w14:textId="4A818BB3" w:rsidTr="00DF1406">
        <w:trPr>
          <w:trHeight w:val="1543"/>
        </w:trPr>
        <w:tc>
          <w:tcPr>
            <w:tcW w:w="3966" w:type="dxa"/>
          </w:tcPr>
          <w:p w14:paraId="0B869AA4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Cross-cultural validity/measurement invariance</w:t>
            </w:r>
          </w:p>
        </w:tc>
        <w:tc>
          <w:tcPr>
            <w:tcW w:w="5955" w:type="dxa"/>
          </w:tcPr>
          <w:p w14:paraId="45E733A9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The degree to which the performance of the items on a</w:t>
            </w:r>
          </w:p>
          <w:p w14:paraId="51B5A912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translated or culturally adapted PROM are an adequate reflection</w:t>
            </w:r>
          </w:p>
          <w:p w14:paraId="4123E6BD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of the performance of the items of the original version of the PROM</w:t>
            </w:r>
          </w:p>
        </w:tc>
        <w:tc>
          <w:tcPr>
            <w:tcW w:w="4728" w:type="dxa"/>
          </w:tcPr>
          <w:p w14:paraId="66D9402C" w14:textId="51F390BD" w:rsidR="000B3289" w:rsidRPr="00DF6DF1" w:rsidRDefault="00796BBC" w:rsidP="00796B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No important differences found between group factors (such as age, gender, language) in multiple group factor analysis</w:t>
            </w:r>
          </w:p>
        </w:tc>
      </w:tr>
      <w:tr w:rsidR="00DF6DF1" w:rsidRPr="00DF6DF1" w14:paraId="191A8B18" w14:textId="7888B727" w:rsidTr="00DF1406">
        <w:trPr>
          <w:trHeight w:val="842"/>
        </w:trPr>
        <w:tc>
          <w:tcPr>
            <w:tcW w:w="3966" w:type="dxa"/>
          </w:tcPr>
          <w:p w14:paraId="5591F28F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Test-retest reliability</w:t>
            </w:r>
          </w:p>
        </w:tc>
        <w:tc>
          <w:tcPr>
            <w:tcW w:w="5955" w:type="dxa"/>
          </w:tcPr>
          <w:p w14:paraId="5B133DB3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The extent to which scores for patients who have not changed</w:t>
            </w:r>
          </w:p>
          <w:p w14:paraId="0C32EF7F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are the same for repeated measurement over time</w:t>
            </w:r>
          </w:p>
        </w:tc>
        <w:tc>
          <w:tcPr>
            <w:tcW w:w="4728" w:type="dxa"/>
          </w:tcPr>
          <w:p w14:paraId="2FE75CF6" w14:textId="25C94AC7" w:rsidR="000B3289" w:rsidRPr="00DF6DF1" w:rsidRDefault="004C05DB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Intraclass correlation coefficient (ICC) ≥0.70</w:t>
            </w:r>
          </w:p>
        </w:tc>
      </w:tr>
      <w:tr w:rsidR="00DF6DF1" w:rsidRPr="00DF6DF1" w14:paraId="70FC5D87" w14:textId="3E8F984D" w:rsidTr="00DF1406">
        <w:trPr>
          <w:trHeight w:val="750"/>
        </w:trPr>
        <w:tc>
          <w:tcPr>
            <w:tcW w:w="3966" w:type="dxa"/>
          </w:tcPr>
          <w:p w14:paraId="2A56D4C9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Measurement error</w:t>
            </w:r>
          </w:p>
        </w:tc>
        <w:tc>
          <w:tcPr>
            <w:tcW w:w="5955" w:type="dxa"/>
          </w:tcPr>
          <w:p w14:paraId="602DFE48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The systematic and random error of an individual patient’s</w:t>
            </w:r>
          </w:p>
          <w:p w14:paraId="5F80F323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score that is not attributed to true changes in the construct to be measured</w:t>
            </w:r>
          </w:p>
        </w:tc>
        <w:tc>
          <w:tcPr>
            <w:tcW w:w="4728" w:type="dxa"/>
          </w:tcPr>
          <w:p w14:paraId="25D297C4" w14:textId="2574CF6D" w:rsidR="000B3289" w:rsidRPr="00DF6DF1" w:rsidRDefault="007C571A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Smallest detectable change (SDC) or limits of agreement (</w:t>
            </w:r>
            <w:proofErr w:type="spellStart"/>
            <w:r w:rsidRPr="00DF6DF1">
              <w:rPr>
                <w:rFonts w:ascii="Times New Roman" w:hAnsi="Times New Roman" w:cs="Times New Roman"/>
              </w:rPr>
              <w:t>LoA</w:t>
            </w:r>
            <w:proofErr w:type="spellEnd"/>
            <w:r w:rsidRPr="00DF6DF1">
              <w:rPr>
                <w:rFonts w:ascii="Times New Roman" w:hAnsi="Times New Roman" w:cs="Times New Roman"/>
              </w:rPr>
              <w:t>) &lt;minimal important change (MIC)</w:t>
            </w:r>
          </w:p>
        </w:tc>
      </w:tr>
      <w:tr w:rsidR="00DF6DF1" w:rsidRPr="00DF6DF1" w14:paraId="1A525050" w14:textId="175BDBB7" w:rsidTr="00DF1406">
        <w:trPr>
          <w:trHeight w:val="1550"/>
        </w:trPr>
        <w:tc>
          <w:tcPr>
            <w:tcW w:w="3966" w:type="dxa"/>
          </w:tcPr>
          <w:p w14:paraId="1C9CFFC1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Construct validity</w:t>
            </w:r>
          </w:p>
        </w:tc>
        <w:tc>
          <w:tcPr>
            <w:tcW w:w="5955" w:type="dxa"/>
          </w:tcPr>
          <w:p w14:paraId="4E0C3E64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The degree to which the scores of a PROM are consistent with</w:t>
            </w:r>
          </w:p>
          <w:p w14:paraId="46C273C5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hypotheses (for instance with regard to internal relationships,</w:t>
            </w:r>
          </w:p>
          <w:p w14:paraId="2CE0268F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relationships to scores of other instruments, or differences</w:t>
            </w:r>
          </w:p>
          <w:p w14:paraId="2E33F532" w14:textId="77777777" w:rsidR="000B3289" w:rsidRPr="00DF6DF1" w:rsidRDefault="000B3289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between relevant groups)</w:t>
            </w:r>
          </w:p>
        </w:tc>
        <w:tc>
          <w:tcPr>
            <w:tcW w:w="4728" w:type="dxa"/>
          </w:tcPr>
          <w:p w14:paraId="3A08C596" w14:textId="1F6E1CEA" w:rsidR="000B3289" w:rsidRPr="00DF6DF1" w:rsidRDefault="006F7C7A" w:rsidP="003E27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The result is in accordance with the hypothesis</w:t>
            </w:r>
          </w:p>
        </w:tc>
      </w:tr>
      <w:tr w:rsidR="00DF6DF1" w:rsidRPr="00DF6DF1" w14:paraId="771CC8B5" w14:textId="54FDABB2" w:rsidTr="00DF1406">
        <w:trPr>
          <w:trHeight w:val="699"/>
        </w:trPr>
        <w:tc>
          <w:tcPr>
            <w:tcW w:w="3966" w:type="dxa"/>
          </w:tcPr>
          <w:p w14:paraId="62DFDC09" w14:textId="77777777" w:rsidR="00F60843" w:rsidRPr="00DF6DF1" w:rsidRDefault="00F60843" w:rsidP="00F60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Responsiveness</w:t>
            </w:r>
          </w:p>
        </w:tc>
        <w:tc>
          <w:tcPr>
            <w:tcW w:w="5955" w:type="dxa"/>
          </w:tcPr>
          <w:p w14:paraId="1890691A" w14:textId="4876C365" w:rsidR="00F60843" w:rsidRPr="00DF6DF1" w:rsidRDefault="00F60843" w:rsidP="00F60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The ability of a PROM to detect change over time in the construct to be measured</w:t>
            </w:r>
          </w:p>
        </w:tc>
        <w:tc>
          <w:tcPr>
            <w:tcW w:w="4728" w:type="dxa"/>
          </w:tcPr>
          <w:p w14:paraId="22B0A907" w14:textId="4FD9E927" w:rsidR="00F60843" w:rsidRPr="00DF6DF1" w:rsidRDefault="00F60843" w:rsidP="00F60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The result is in accordance with the hypothesis</w:t>
            </w:r>
          </w:p>
        </w:tc>
      </w:tr>
      <w:tr w:rsidR="00F60843" w:rsidRPr="00DF6DF1" w14:paraId="59BB4949" w14:textId="1542F8A7" w:rsidTr="00DF1406">
        <w:trPr>
          <w:trHeight w:val="1206"/>
        </w:trPr>
        <w:tc>
          <w:tcPr>
            <w:tcW w:w="3966" w:type="dxa"/>
          </w:tcPr>
          <w:p w14:paraId="264CC5C9" w14:textId="77777777" w:rsidR="00F60843" w:rsidRPr="00DF6DF1" w:rsidRDefault="00F60843" w:rsidP="00F60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Interpretability</w:t>
            </w:r>
          </w:p>
        </w:tc>
        <w:tc>
          <w:tcPr>
            <w:tcW w:w="5955" w:type="dxa"/>
          </w:tcPr>
          <w:p w14:paraId="6A4C7793" w14:textId="77777777" w:rsidR="00F60843" w:rsidRPr="00DF6DF1" w:rsidRDefault="00F60843" w:rsidP="00F60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The degree to which one can assign qualitative meaning ‐ that is, clinical or commonly understood connotations – to a PROM’s</w:t>
            </w:r>
          </w:p>
          <w:p w14:paraId="12942E27" w14:textId="77777777" w:rsidR="00F60843" w:rsidRPr="00DF6DF1" w:rsidRDefault="00F60843" w:rsidP="00F60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quantitative scores or change in scores</w:t>
            </w:r>
          </w:p>
        </w:tc>
        <w:tc>
          <w:tcPr>
            <w:tcW w:w="4728" w:type="dxa"/>
          </w:tcPr>
          <w:p w14:paraId="4549DE5B" w14:textId="0F32E2D2" w:rsidR="00F60843" w:rsidRPr="00DF6DF1" w:rsidRDefault="004B6E7C" w:rsidP="00F60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6DF1">
              <w:rPr>
                <w:rFonts w:ascii="Times New Roman" w:hAnsi="Times New Roman" w:cs="Times New Roman"/>
              </w:rPr>
              <w:t>COSMIN c</w:t>
            </w:r>
            <w:r w:rsidR="0008493C" w:rsidRPr="00DF6DF1">
              <w:rPr>
                <w:rFonts w:ascii="Times New Roman" w:hAnsi="Times New Roman" w:cs="Times New Roman"/>
              </w:rPr>
              <w:t>riteria for interpretability for not available;</w:t>
            </w:r>
            <w:r w:rsidRPr="00DF6DF1">
              <w:rPr>
                <w:rFonts w:ascii="Times New Roman" w:hAnsi="Times New Roman" w:cs="Times New Roman"/>
              </w:rPr>
              <w:t xml:space="preserve"> </w:t>
            </w:r>
            <w:r w:rsidR="00C5252B" w:rsidRPr="00DF6DF1">
              <w:rPr>
                <w:rFonts w:ascii="Times New Roman" w:hAnsi="Times New Roman" w:cs="Times New Roman"/>
              </w:rPr>
              <w:t>assessed by investigating whether a guide to meaningful interpretation of scores was available and graded as ‘available’/‘not available’</w:t>
            </w:r>
          </w:p>
        </w:tc>
      </w:tr>
    </w:tbl>
    <w:p w14:paraId="00F75B6D" w14:textId="77777777" w:rsidR="00E26BF5" w:rsidRPr="00DF6DF1" w:rsidRDefault="00E26BF5" w:rsidP="00E26BF5"/>
    <w:p w14:paraId="2C7B1946" w14:textId="2E343FB2" w:rsidR="00E26BF5" w:rsidRPr="00DF6DF1" w:rsidRDefault="00E26BF5" w:rsidP="00E26BF5">
      <w:pPr>
        <w:rPr>
          <w:rFonts w:ascii="Times New Roman" w:hAnsi="Times New Roman" w:cs="Times New Roman"/>
          <w:b/>
          <w:bCs/>
        </w:rPr>
      </w:pPr>
      <w:r w:rsidRPr="00DF6DF1">
        <w:rPr>
          <w:rFonts w:ascii="Times New Roman" w:hAnsi="Times New Roman" w:cs="Times New Roman"/>
          <w:b/>
          <w:bCs/>
        </w:rPr>
        <w:t xml:space="preserve">S2. Definition </w:t>
      </w:r>
      <w:r w:rsidR="000B3289" w:rsidRPr="00DF6DF1">
        <w:rPr>
          <w:rFonts w:ascii="Times New Roman" w:hAnsi="Times New Roman" w:cs="Times New Roman"/>
          <w:b/>
          <w:bCs/>
        </w:rPr>
        <w:t>and criteria for</w:t>
      </w:r>
      <w:r w:rsidRPr="00DF6DF1">
        <w:rPr>
          <w:rFonts w:ascii="Times New Roman" w:hAnsi="Times New Roman" w:cs="Times New Roman"/>
          <w:b/>
          <w:bCs/>
        </w:rPr>
        <w:t xml:space="preserve"> each measurement property </w:t>
      </w:r>
    </w:p>
    <w:p w14:paraId="09856083" w14:textId="2790CD0E" w:rsidR="00E26BF5" w:rsidRPr="00DF6DF1" w:rsidRDefault="00E26BF5" w:rsidP="00E26BF5">
      <w:pPr>
        <w:rPr>
          <w:rFonts w:ascii="Times New Roman" w:hAnsi="Times New Roman" w:cs="Times New Roman"/>
        </w:rPr>
      </w:pPr>
      <w:r w:rsidRPr="00DF6DF1">
        <w:rPr>
          <w:rFonts w:ascii="Times New Roman" w:hAnsi="Times New Roman" w:cs="Times New Roman"/>
        </w:rPr>
        <w:t xml:space="preserve">Measurement properties </w:t>
      </w:r>
      <w:r w:rsidR="00F0628C" w:rsidRPr="00DF6DF1">
        <w:rPr>
          <w:rFonts w:ascii="Times New Roman" w:hAnsi="Times New Roman" w:cs="Times New Roman"/>
        </w:rPr>
        <w:t xml:space="preserve">and criteria </w:t>
      </w:r>
      <w:r w:rsidRPr="00DF6DF1">
        <w:rPr>
          <w:rFonts w:ascii="Times New Roman" w:hAnsi="Times New Roman" w:cs="Times New Roman"/>
        </w:rPr>
        <w:t>as defined by COSMIN manual for systematic reviews of PROMs</w:t>
      </w:r>
      <w:r w:rsidR="00AB2C69" w:rsidRPr="00DF6DF1">
        <w:rPr>
          <w:rFonts w:ascii="Times New Roman" w:hAnsi="Times New Roman" w:cs="Times New Roman"/>
        </w:rPr>
        <w:t xml:space="preserve"> [14</w:t>
      </w:r>
      <w:r w:rsidR="009F0F09" w:rsidRPr="00DF6DF1">
        <w:rPr>
          <w:rFonts w:ascii="Times New Roman" w:hAnsi="Times New Roman" w:cs="Times New Roman"/>
        </w:rPr>
        <w:t>]</w:t>
      </w:r>
    </w:p>
    <w:p w14:paraId="7EB03B91" w14:textId="6D7BAB4A" w:rsidR="000F0FCD" w:rsidRPr="00DF6DF1" w:rsidRDefault="000F0FCD">
      <w:pPr>
        <w:rPr>
          <w:rFonts w:ascii="Times New Roman" w:hAnsi="Times New Roman" w:cs="Times New Roman"/>
          <w:b/>
          <w:bCs/>
        </w:rPr>
      </w:pPr>
    </w:p>
    <w:p w14:paraId="3C67218E" w14:textId="292D0C5D" w:rsidR="00A7618D" w:rsidRPr="00DF6DF1" w:rsidRDefault="00A7618D">
      <w:pPr>
        <w:rPr>
          <w:rFonts w:ascii="Times New Roman" w:hAnsi="Times New Roman" w:cs="Times New Roman"/>
          <w:b/>
          <w:bCs/>
        </w:rPr>
      </w:pPr>
    </w:p>
    <w:p w14:paraId="57D04A78" w14:textId="77777777" w:rsidR="00EA36B3" w:rsidRPr="00DF6DF1" w:rsidRDefault="00EA36B3">
      <w:pPr>
        <w:rPr>
          <w:rFonts w:ascii="Times New Roman" w:hAnsi="Times New Roman" w:cs="Times New Roman"/>
          <w:b/>
          <w:bCs/>
        </w:rPr>
        <w:sectPr w:rsidR="00EA36B3" w:rsidRPr="00DF6DF1" w:rsidSect="00DF6DF1">
          <w:type w:val="continuous"/>
          <w:pgSz w:w="16838" w:h="11906" w:orient="landscape"/>
          <w:pgMar w:top="1440" w:right="1276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637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841"/>
        <w:gridCol w:w="710"/>
        <w:gridCol w:w="1841"/>
        <w:gridCol w:w="572"/>
        <w:gridCol w:w="1839"/>
        <w:gridCol w:w="710"/>
        <w:gridCol w:w="1840"/>
        <w:gridCol w:w="13"/>
        <w:gridCol w:w="698"/>
        <w:gridCol w:w="1842"/>
        <w:gridCol w:w="24"/>
        <w:gridCol w:w="686"/>
        <w:gridCol w:w="1588"/>
        <w:gridCol w:w="47"/>
      </w:tblGrid>
      <w:tr w:rsidR="00DF6DF1" w:rsidRPr="00DF6DF1" w14:paraId="241DE94A" w14:textId="77777777" w:rsidTr="00EA36B3">
        <w:trPr>
          <w:trHeight w:val="537"/>
        </w:trPr>
        <w:tc>
          <w:tcPr>
            <w:tcW w:w="1418" w:type="dxa"/>
            <w:vMerge w:val="restart"/>
          </w:tcPr>
          <w:p w14:paraId="6CC5B8A1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 xml:space="preserve">PROM </w:t>
            </w:r>
          </w:p>
          <w:p w14:paraId="7848ECEC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(Ref)</w:t>
            </w:r>
          </w:p>
        </w:tc>
        <w:tc>
          <w:tcPr>
            <w:tcW w:w="2550" w:type="dxa"/>
            <w:gridSpan w:val="2"/>
          </w:tcPr>
          <w:p w14:paraId="20B6246E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Structural Validity</w:t>
            </w:r>
          </w:p>
        </w:tc>
        <w:tc>
          <w:tcPr>
            <w:tcW w:w="2551" w:type="dxa"/>
            <w:gridSpan w:val="2"/>
          </w:tcPr>
          <w:p w14:paraId="06A04BD5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Internal Consistency Reliability</w:t>
            </w:r>
          </w:p>
        </w:tc>
        <w:tc>
          <w:tcPr>
            <w:tcW w:w="2411" w:type="dxa"/>
            <w:gridSpan w:val="2"/>
          </w:tcPr>
          <w:p w14:paraId="4E89E2E0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Test-Retest Reliability</w:t>
            </w:r>
          </w:p>
        </w:tc>
        <w:tc>
          <w:tcPr>
            <w:tcW w:w="2563" w:type="dxa"/>
            <w:gridSpan w:val="3"/>
          </w:tcPr>
          <w:p w14:paraId="1AD18391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Construct Validity</w:t>
            </w:r>
          </w:p>
        </w:tc>
        <w:tc>
          <w:tcPr>
            <w:tcW w:w="2564" w:type="dxa"/>
            <w:gridSpan w:val="3"/>
          </w:tcPr>
          <w:p w14:paraId="72B1237F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Responsiveness</w:t>
            </w:r>
          </w:p>
        </w:tc>
        <w:tc>
          <w:tcPr>
            <w:tcW w:w="2321" w:type="dxa"/>
            <w:gridSpan w:val="3"/>
          </w:tcPr>
          <w:p w14:paraId="10ABA677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Interpretability</w:t>
            </w:r>
          </w:p>
        </w:tc>
      </w:tr>
      <w:tr w:rsidR="00DF6DF1" w:rsidRPr="00DF6DF1" w14:paraId="5778755D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  <w:vMerge/>
          </w:tcPr>
          <w:p w14:paraId="2A8B8F5B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70756DF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841" w:type="dxa"/>
          </w:tcPr>
          <w:p w14:paraId="7F9C876B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Extracted results of measurement property</w:t>
            </w:r>
          </w:p>
        </w:tc>
        <w:tc>
          <w:tcPr>
            <w:tcW w:w="710" w:type="dxa"/>
          </w:tcPr>
          <w:p w14:paraId="33040EFB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841" w:type="dxa"/>
          </w:tcPr>
          <w:p w14:paraId="3DBF7772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Extracted results of measurement property</w:t>
            </w:r>
          </w:p>
        </w:tc>
        <w:tc>
          <w:tcPr>
            <w:tcW w:w="572" w:type="dxa"/>
          </w:tcPr>
          <w:p w14:paraId="75561618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839" w:type="dxa"/>
          </w:tcPr>
          <w:p w14:paraId="029A9414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Extracted results of measurement property</w:t>
            </w:r>
          </w:p>
        </w:tc>
        <w:tc>
          <w:tcPr>
            <w:tcW w:w="710" w:type="dxa"/>
          </w:tcPr>
          <w:p w14:paraId="7F2F7264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840" w:type="dxa"/>
          </w:tcPr>
          <w:p w14:paraId="5A447032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Extracted results of measurement property</w:t>
            </w:r>
          </w:p>
        </w:tc>
        <w:tc>
          <w:tcPr>
            <w:tcW w:w="711" w:type="dxa"/>
            <w:gridSpan w:val="2"/>
          </w:tcPr>
          <w:p w14:paraId="0E91277A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842" w:type="dxa"/>
          </w:tcPr>
          <w:p w14:paraId="71A429B7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Extracted results of measurement property</w:t>
            </w:r>
          </w:p>
        </w:tc>
        <w:tc>
          <w:tcPr>
            <w:tcW w:w="710" w:type="dxa"/>
            <w:gridSpan w:val="2"/>
          </w:tcPr>
          <w:p w14:paraId="41E14CBD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588" w:type="dxa"/>
          </w:tcPr>
          <w:p w14:paraId="7B49C0DA" w14:textId="77777777" w:rsidR="00EA36B3" w:rsidRPr="00DF6DF1" w:rsidRDefault="00EA36B3" w:rsidP="003E275D">
            <w:pPr>
              <w:rPr>
                <w:rFonts w:ascii="Times New Roman" w:hAnsi="Times New Roman" w:cs="Times New Roman"/>
                <w:b/>
                <w:bCs/>
              </w:rPr>
            </w:pPr>
            <w:r w:rsidRPr="00DF6DF1">
              <w:rPr>
                <w:rFonts w:ascii="Times New Roman" w:hAnsi="Times New Roman" w:cs="Times New Roman"/>
                <w:b/>
                <w:bCs/>
              </w:rPr>
              <w:t>Extracted results of measurement property</w:t>
            </w:r>
          </w:p>
        </w:tc>
      </w:tr>
      <w:tr w:rsidR="00DF6DF1" w:rsidRPr="00DF6DF1" w14:paraId="3D3B35CB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433B488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QLQ-CIPN15</w:t>
            </w:r>
          </w:p>
          <w:p w14:paraId="545A316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(Smith et al 2018)</w:t>
            </w:r>
          </w:p>
        </w:tc>
        <w:tc>
          <w:tcPr>
            <w:tcW w:w="709" w:type="dxa"/>
          </w:tcPr>
          <w:p w14:paraId="2326AF9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1" w:type="dxa"/>
          </w:tcPr>
          <w:p w14:paraId="1E29EB0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CFA not confirmed for 2 previously described structures (upper/lower and sensory/motor)</w:t>
            </w:r>
          </w:p>
        </w:tc>
        <w:tc>
          <w:tcPr>
            <w:tcW w:w="710" w:type="dxa"/>
          </w:tcPr>
          <w:p w14:paraId="492B0CF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1" w:type="dxa"/>
          </w:tcPr>
          <w:p w14:paraId="139E39C1" w14:textId="384B9D99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for sum score was 0.91, item-item correlation</w:t>
            </w:r>
            <w:r w:rsidR="00CD6A79" w:rsidRPr="00DF6D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were 0.46-0.81</w:t>
            </w:r>
          </w:p>
        </w:tc>
        <w:tc>
          <w:tcPr>
            <w:tcW w:w="572" w:type="dxa"/>
          </w:tcPr>
          <w:p w14:paraId="381A4D8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39" w:type="dxa"/>
          </w:tcPr>
          <w:p w14:paraId="641DC2A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Completed PROM 1-2 hours apart. Correlations r=0.86; CI=0.80-0.90</w:t>
            </w:r>
          </w:p>
        </w:tc>
        <w:tc>
          <w:tcPr>
            <w:tcW w:w="710" w:type="dxa"/>
          </w:tcPr>
          <w:p w14:paraId="64C290B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0" w:type="dxa"/>
          </w:tcPr>
          <w:p w14:paraId="1736677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Correlations between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TNSc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to CIPN15 sum score r =0.57.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TNSc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subjective and motor item scores also correlated with CIPN15 (r=0.57, r=0.72).</w:t>
            </w:r>
          </w:p>
          <w:p w14:paraId="1D2D0A4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Significant differences in CIPN15 between patients (mean=14.27, SD=17.33) and controls (mean=0, SD=0) </w:t>
            </w:r>
          </w:p>
        </w:tc>
        <w:tc>
          <w:tcPr>
            <w:tcW w:w="711" w:type="dxa"/>
            <w:gridSpan w:val="2"/>
          </w:tcPr>
          <w:p w14:paraId="63F0979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2" w:type="dxa"/>
          </w:tcPr>
          <w:p w14:paraId="1FF46C7A" w14:textId="7F050404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D6A79" w:rsidRPr="00DF6D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for CIPN15 small-medium and clinically significant (d=0.52, CI=0.25-0.79)</w:t>
            </w:r>
          </w:p>
        </w:tc>
        <w:tc>
          <w:tcPr>
            <w:tcW w:w="710" w:type="dxa"/>
            <w:gridSpan w:val="2"/>
          </w:tcPr>
          <w:p w14:paraId="7EF2380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D5BFE6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405C7CB0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238B831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QLQ-CIPN20</w:t>
            </w:r>
          </w:p>
          <w:p w14:paraId="3A2FE03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(Cavaletti et al 2013)</w:t>
            </w:r>
          </w:p>
        </w:tc>
        <w:tc>
          <w:tcPr>
            <w:tcW w:w="709" w:type="dxa"/>
          </w:tcPr>
          <w:p w14:paraId="59BA85C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3AB52F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3E9BFED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18B6D4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5CEBC5A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839" w:type="dxa"/>
          </w:tcPr>
          <w:p w14:paraId="5C09C25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Completed PROM 2-3 weeks apart. Good correlations for sensory (r=0.836) motor (r=0.844) and autonomic (r=0.726) subscales</w:t>
            </w:r>
          </w:p>
        </w:tc>
        <w:tc>
          <w:tcPr>
            <w:tcW w:w="710" w:type="dxa"/>
          </w:tcPr>
          <w:p w14:paraId="7D70D3B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C775DC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3A55D25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734A3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6F30E6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57D3B6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570BD16B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3728547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QLQ-CIPN20</w:t>
            </w:r>
          </w:p>
          <w:p w14:paraId="213D1B9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(Postma et al 2005)</w:t>
            </w:r>
          </w:p>
        </w:tc>
        <w:tc>
          <w:tcPr>
            <w:tcW w:w="709" w:type="dxa"/>
          </w:tcPr>
          <w:p w14:paraId="405953B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DEC783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33CD3B7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1" w:type="dxa"/>
          </w:tcPr>
          <w:p w14:paraId="636FEBE5" w14:textId="018FEC40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Cronbach's α for sensory, motor and autonomic subscale </w:t>
            </w:r>
            <w:r w:rsidR="00EC55DD" w:rsidRPr="00DF6DF1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0.82, 0.73 and 0.76.</w:t>
            </w:r>
          </w:p>
        </w:tc>
        <w:tc>
          <w:tcPr>
            <w:tcW w:w="572" w:type="dxa"/>
          </w:tcPr>
          <w:p w14:paraId="57B9A6F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846B4A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1B8D7EF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E4C1C0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68DBF3A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1F804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889BEA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763B46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7EED7C70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7B6DCA1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QLQ-CIPN20</w:t>
            </w:r>
          </w:p>
          <w:p w14:paraId="3DEEB47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(Yeo et al 2019)</w:t>
            </w:r>
          </w:p>
        </w:tc>
        <w:tc>
          <w:tcPr>
            <w:tcW w:w="709" w:type="dxa"/>
          </w:tcPr>
          <w:p w14:paraId="098EFB0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D41DAD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2746D7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7999EB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5B6ABCC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8D9FB1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4D82431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953FFB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4685610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E80BB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3215E12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588" w:type="dxa"/>
          </w:tcPr>
          <w:p w14:paraId="0C6AF960" w14:textId="635D080B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Using distribution-based estimations, MCID for sensory subscale is 2.5-5.9, motor is 2.6-5.0</w:t>
            </w:r>
          </w:p>
        </w:tc>
      </w:tr>
      <w:tr w:rsidR="00DF6DF1" w:rsidRPr="00DF6DF1" w14:paraId="4DF3B6F0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77CBC71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QLQ-CIPN20</w:t>
            </w:r>
          </w:p>
          <w:p w14:paraId="5FA2185F" w14:textId="257C6C5A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(Ki</w:t>
            </w:r>
            <w:r w:rsidR="00F600ED" w:rsidRPr="00DF6DF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ffer et al 2017)</w:t>
            </w:r>
          </w:p>
        </w:tc>
        <w:tc>
          <w:tcPr>
            <w:tcW w:w="709" w:type="dxa"/>
          </w:tcPr>
          <w:p w14:paraId="688DCBF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1841" w:type="dxa"/>
          </w:tcPr>
          <w:p w14:paraId="22D62882" w14:textId="038CB88F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CFA on hypothesized models (sensory/ motor/ autonomic, upper/lower </w:t>
            </w:r>
            <w:r w:rsidR="004539D2" w:rsidRPr="00DF6DF1">
              <w:rPr>
                <w:rFonts w:ascii="Times New Roman" w:hAnsi="Times New Roman" w:cs="Times New Roman"/>
                <w:sz w:val="20"/>
                <w:szCs w:val="20"/>
              </w:rPr>
              <w:t>extremities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) did not fit samples</w:t>
            </w:r>
          </w:p>
        </w:tc>
        <w:tc>
          <w:tcPr>
            <w:tcW w:w="710" w:type="dxa"/>
          </w:tcPr>
          <w:p w14:paraId="0CDCC70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CCC8CD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1E45105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A91B95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237F4A1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500-754</w:t>
            </w:r>
          </w:p>
        </w:tc>
        <w:tc>
          <w:tcPr>
            <w:tcW w:w="1840" w:type="dxa"/>
          </w:tcPr>
          <w:p w14:paraId="654A433F" w14:textId="2AC4591D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Significant differences between QLQ-CIPN20 and 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NCI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motor and sensory grades (P&lt;0.01).</w:t>
            </w:r>
          </w:p>
          <w:p w14:paraId="6D02C17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Significant difference in EORTC-CIPN20 scores in patients vs. controls (P&lt;0.001)</w:t>
            </w:r>
          </w:p>
        </w:tc>
        <w:tc>
          <w:tcPr>
            <w:tcW w:w="711" w:type="dxa"/>
            <w:gridSpan w:val="2"/>
          </w:tcPr>
          <w:p w14:paraId="1DC5F76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B13BB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04C49F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9BDB5C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458530F2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19BDF20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QLQ-CIPN20</w:t>
            </w:r>
          </w:p>
          <w:p w14:paraId="26FA500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(Lavoie Smith et al 2013)</w:t>
            </w:r>
          </w:p>
        </w:tc>
        <w:tc>
          <w:tcPr>
            <w:tcW w:w="709" w:type="dxa"/>
          </w:tcPr>
          <w:p w14:paraId="6BDD0EC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841" w:type="dxa"/>
          </w:tcPr>
          <w:p w14:paraId="1A8DF51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CFA shows poor model fit for sensory/motor/autonomic structure </w:t>
            </w:r>
          </w:p>
        </w:tc>
        <w:tc>
          <w:tcPr>
            <w:tcW w:w="710" w:type="dxa"/>
          </w:tcPr>
          <w:p w14:paraId="5301322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321-365</w:t>
            </w:r>
          </w:p>
        </w:tc>
        <w:tc>
          <w:tcPr>
            <w:tcW w:w="1841" w:type="dxa"/>
          </w:tcPr>
          <w:p w14:paraId="6FEEBD9D" w14:textId="0931111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for sensory, motor and autonomic scales were 0.88, 0.88 and 0.78. Item to score correlations ranged 0.44-0.63</w:t>
            </w:r>
          </w:p>
        </w:tc>
        <w:tc>
          <w:tcPr>
            <w:tcW w:w="572" w:type="dxa"/>
          </w:tcPr>
          <w:p w14:paraId="34ED250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8B1394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11F04A0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840" w:type="dxa"/>
          </w:tcPr>
          <w:p w14:paraId="4A554044" w14:textId="3A695275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Correlations between subscales to the CTCAE sensory scale were low (-0.2, 0.2, 0.3). Pain items measure had low-mod correlations to BPI-SF pain questions (r=0.30-0.57, P&lt;0.001). CIPN16 did not correlate with CTCAE (r=0.16-0.21, P&lt;0.05)</w:t>
            </w:r>
          </w:p>
          <w:p w14:paraId="438F5A5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Significant difference between patients and controls (P&lt;0.0001) </w:t>
            </w:r>
          </w:p>
        </w:tc>
        <w:tc>
          <w:tcPr>
            <w:tcW w:w="711" w:type="dxa"/>
            <w:gridSpan w:val="2"/>
          </w:tcPr>
          <w:p w14:paraId="6D8A0CE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42" w:type="dxa"/>
          </w:tcPr>
          <w:p w14:paraId="641CF9F0" w14:textId="030A8404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After 12 weeks of chemotherapy treatment, ES on sensory and motor scale were 0.82 and 0.48</w:t>
            </w:r>
          </w:p>
        </w:tc>
        <w:tc>
          <w:tcPr>
            <w:tcW w:w="710" w:type="dxa"/>
            <w:gridSpan w:val="2"/>
          </w:tcPr>
          <w:p w14:paraId="46AD631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4BF9A0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4D00E284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21B3A06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QLQ-CIPN20- Korean Version</w:t>
            </w:r>
          </w:p>
          <w:p w14:paraId="031DB69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(Kim et al 2014)</w:t>
            </w:r>
          </w:p>
        </w:tc>
        <w:tc>
          <w:tcPr>
            <w:tcW w:w="709" w:type="dxa"/>
          </w:tcPr>
          <w:p w14:paraId="25F2553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841" w:type="dxa"/>
          </w:tcPr>
          <w:p w14:paraId="5CBACAD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CFA found significant model fit for sensory, motor and autonomic substructures </w:t>
            </w:r>
          </w:p>
        </w:tc>
        <w:tc>
          <w:tcPr>
            <w:tcW w:w="710" w:type="dxa"/>
          </w:tcPr>
          <w:p w14:paraId="0505422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841" w:type="dxa"/>
          </w:tcPr>
          <w:p w14:paraId="35C778A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for the scale, as well as sensory, motor and autonomic subscales were 0.88, 0.89, 0.88 and 0.73</w:t>
            </w:r>
          </w:p>
        </w:tc>
        <w:tc>
          <w:tcPr>
            <w:tcW w:w="572" w:type="dxa"/>
          </w:tcPr>
          <w:p w14:paraId="406D92F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6ACBD5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6BE88CB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840" w:type="dxa"/>
          </w:tcPr>
          <w:p w14:paraId="536C4291" w14:textId="4178C1D0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Significant differences between ECOG PS groups in all sensory, motor and autonomic subscales (all P&lt;0.001). Groups with poor physical activity had higher CIPN scores</w:t>
            </w:r>
          </w:p>
        </w:tc>
        <w:tc>
          <w:tcPr>
            <w:tcW w:w="711" w:type="dxa"/>
            <w:gridSpan w:val="2"/>
          </w:tcPr>
          <w:p w14:paraId="7B42A41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9E0A6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3801072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A7D1E5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6C30F55F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35FEBAA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QLQ-CIPN20-Arabic version</w:t>
            </w:r>
          </w:p>
          <w:p w14:paraId="084C0E5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(Abu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Sharour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et al 2019)</w:t>
            </w:r>
          </w:p>
        </w:tc>
        <w:tc>
          <w:tcPr>
            <w:tcW w:w="709" w:type="dxa"/>
          </w:tcPr>
          <w:p w14:paraId="68CFA9E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1" w:type="dxa"/>
          </w:tcPr>
          <w:p w14:paraId="01B5CB87" w14:textId="50B02E04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EFA suggested sensory, motor and autonomic subscales had loadings of 0.68-0.91, 0.68-0.91 and 0.69-0.81</w:t>
            </w:r>
          </w:p>
        </w:tc>
        <w:tc>
          <w:tcPr>
            <w:tcW w:w="710" w:type="dxa"/>
          </w:tcPr>
          <w:p w14:paraId="364DADE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1" w:type="dxa"/>
          </w:tcPr>
          <w:p w14:paraId="5D14F858" w14:textId="13F38203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Cronbach’s α for sensory, motor and autonomic subscales</w:t>
            </w:r>
            <w:r w:rsidR="00E4154D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and total measure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were 0.84, 0.79, 0.81 and 0.83 </w:t>
            </w:r>
          </w:p>
        </w:tc>
        <w:tc>
          <w:tcPr>
            <w:tcW w:w="572" w:type="dxa"/>
          </w:tcPr>
          <w:p w14:paraId="088823C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9D0908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0144AC9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</w:tcPr>
          <w:p w14:paraId="429CC1EA" w14:textId="489BF4DC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Arabic EORTC-CIPN20 was significantly correlated to Arabic FACT/GOG-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Ntx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(r=-0.88) and QLQ-C30 (r=-0.65), both P&lt;0.01</w:t>
            </w:r>
          </w:p>
        </w:tc>
        <w:tc>
          <w:tcPr>
            <w:tcW w:w="711" w:type="dxa"/>
            <w:gridSpan w:val="2"/>
          </w:tcPr>
          <w:p w14:paraId="12C8114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4C1CA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2F4D5B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5B6ADA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4D85A3DF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2D423A9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QLQ-CIPN20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br/>
              <w:t>Electronic and paper/pencil versions</w:t>
            </w:r>
          </w:p>
          <w:p w14:paraId="60CDACA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Knoerl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et al 2017)</w:t>
            </w:r>
          </w:p>
        </w:tc>
        <w:tc>
          <w:tcPr>
            <w:tcW w:w="709" w:type="dxa"/>
          </w:tcPr>
          <w:p w14:paraId="4D659D0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E45A98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61864CC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1" w:type="dxa"/>
          </w:tcPr>
          <w:p w14:paraId="783D58B8" w14:textId="4AA156B1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Cronbach's α for motor and sensory subscales for electronic version were 0.76 and 0.75, autonomic items were not correlated with one another. Paper/pencil α </w:t>
            </w:r>
            <w:r w:rsidR="00173619" w:rsidRPr="00DF6DF1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0.79 and 0.75, with no correlation for autonomic items</w:t>
            </w:r>
          </w:p>
        </w:tc>
        <w:tc>
          <w:tcPr>
            <w:tcW w:w="572" w:type="dxa"/>
          </w:tcPr>
          <w:p w14:paraId="64817B8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66D17C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3236F5E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0" w:type="dxa"/>
          </w:tcPr>
          <w:p w14:paraId="018578D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The sensory and motor subscales of the paper/pencil and electronic versions were significantly correlated to both PRO-CTCAE items</w:t>
            </w:r>
          </w:p>
        </w:tc>
        <w:tc>
          <w:tcPr>
            <w:tcW w:w="711" w:type="dxa"/>
            <w:gridSpan w:val="2"/>
          </w:tcPr>
          <w:p w14:paraId="787A821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DE657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4E8081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48A024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00CA7239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1AEC928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QLQ-CIPN16/20</w:t>
            </w:r>
          </w:p>
          <w:p w14:paraId="00BF24B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(Smith et al 2019)</w:t>
            </w:r>
          </w:p>
        </w:tc>
        <w:tc>
          <w:tcPr>
            <w:tcW w:w="709" w:type="dxa"/>
          </w:tcPr>
          <w:p w14:paraId="3FEF11E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841" w:type="dxa"/>
          </w:tcPr>
          <w:p w14:paraId="518EE44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CFA of 3-factor structure showed poor model fit</w:t>
            </w:r>
          </w:p>
        </w:tc>
        <w:tc>
          <w:tcPr>
            <w:tcW w:w="710" w:type="dxa"/>
          </w:tcPr>
          <w:p w14:paraId="71D915F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841" w:type="dxa"/>
          </w:tcPr>
          <w:p w14:paraId="302BB2B1" w14:textId="46210325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Cronbach's α for the sensory, motor and autonomic (male/female) subscales for CIPN20 </w:t>
            </w:r>
            <w:r w:rsidR="00B67FE2" w:rsidRPr="00DF6DF1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0.87, 0.83 and 0.62/0.39. CIPN16 two-item factor scale of 0.90 and 0.85</w:t>
            </w:r>
          </w:p>
        </w:tc>
        <w:tc>
          <w:tcPr>
            <w:tcW w:w="572" w:type="dxa"/>
          </w:tcPr>
          <w:p w14:paraId="1772F8C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0BDF6C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02B0208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9DBDF4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4310E47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1A3D0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5BA49A3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4BD64A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6959F380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718CA03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QLQ-CIPN20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br/>
              <w:t>RASCH model-based testing</w:t>
            </w:r>
          </w:p>
          <w:p w14:paraId="3AEC327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(Smith et al 2019)</w:t>
            </w:r>
          </w:p>
        </w:tc>
        <w:tc>
          <w:tcPr>
            <w:tcW w:w="709" w:type="dxa"/>
          </w:tcPr>
          <w:p w14:paraId="12587FE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841" w:type="dxa"/>
          </w:tcPr>
          <w:p w14:paraId="682FB31B" w14:textId="597915B9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Cluster analysis findings suggest</w:t>
            </w:r>
            <w:r w:rsidR="00B67FE2" w:rsidRPr="00DF6DF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lack of clear factor structure based on sensory, motor and autonomic subscales</w:t>
            </w:r>
          </w:p>
        </w:tc>
        <w:tc>
          <w:tcPr>
            <w:tcW w:w="710" w:type="dxa"/>
          </w:tcPr>
          <w:p w14:paraId="08F70C1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898B7A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65CAA34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9E7200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22C3A33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840" w:type="dxa"/>
          </w:tcPr>
          <w:p w14:paraId="4658B764" w14:textId="15433240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Significant differences between responses of males and females (P&lt;0.0001) and when comparing patients in different chemo groups</w:t>
            </w:r>
          </w:p>
        </w:tc>
        <w:tc>
          <w:tcPr>
            <w:tcW w:w="711" w:type="dxa"/>
            <w:gridSpan w:val="2"/>
          </w:tcPr>
          <w:p w14:paraId="5480455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F084B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4120ABE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D6FE96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35E354A1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3ADF629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QLQ-CIPN20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br/>
              <w:t>Chinese Version</w:t>
            </w:r>
          </w:p>
          <w:p w14:paraId="26D64D0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(Cheng et al 2019)</w:t>
            </w:r>
          </w:p>
        </w:tc>
        <w:tc>
          <w:tcPr>
            <w:tcW w:w="709" w:type="dxa"/>
          </w:tcPr>
          <w:p w14:paraId="0656611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1" w:type="dxa"/>
          </w:tcPr>
          <w:p w14:paraId="3AD74469" w14:textId="69F6D9B5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CFA found poor model fit for 3</w:t>
            </w:r>
            <w:r w:rsidR="00E20E8E" w:rsidRPr="00DF6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factor structure of CIPN20</w:t>
            </w:r>
          </w:p>
        </w:tc>
        <w:tc>
          <w:tcPr>
            <w:tcW w:w="710" w:type="dxa"/>
          </w:tcPr>
          <w:p w14:paraId="6F684B8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1" w:type="dxa"/>
          </w:tcPr>
          <w:p w14:paraId="0F277782" w14:textId="3E0AF03C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of 0.82-0.90 at all assessment timepoints</w:t>
            </w:r>
          </w:p>
        </w:tc>
        <w:tc>
          <w:tcPr>
            <w:tcW w:w="572" w:type="dxa"/>
          </w:tcPr>
          <w:p w14:paraId="78205F8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CFD01A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61352E3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0" w:type="dxa"/>
          </w:tcPr>
          <w:p w14:paraId="503B1048" w14:textId="67D93725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CIPN20 and correlated to WHO-CIPN from cycle 5 to 9m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onths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U (r=0.40</w:t>
            </w:r>
            <w:r w:rsidR="004C31E6" w:rsidRPr="00DF6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0.44).</w:t>
            </w:r>
          </w:p>
          <w:p w14:paraId="04EC7041" w14:textId="4CB3D6C8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CIPN20 and NCI sensory not significant</w:t>
            </w:r>
            <w:r w:rsidR="007D4391" w:rsidRPr="00DF6DF1">
              <w:rPr>
                <w:rFonts w:ascii="Times New Roman" w:hAnsi="Times New Roman" w:cs="Times New Roman"/>
                <w:sz w:val="20"/>
                <w:szCs w:val="20"/>
              </w:rPr>
              <w:t>ly correlated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at baseline and cycle 1</w:t>
            </w:r>
            <w:r w:rsidR="00BF5719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became significant thereafter. </w:t>
            </w:r>
          </w:p>
          <w:p w14:paraId="7D9B15C5" w14:textId="6275AFDF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Significant differences </w:t>
            </w:r>
            <w:r w:rsidR="00397A1A" w:rsidRPr="00DF6DF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CIPN20 scores between younger and older (±60 years) at most timepoints except cycle1-3</w:t>
            </w:r>
          </w:p>
        </w:tc>
        <w:tc>
          <w:tcPr>
            <w:tcW w:w="711" w:type="dxa"/>
            <w:gridSpan w:val="2"/>
          </w:tcPr>
          <w:p w14:paraId="419F348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2" w:type="dxa"/>
          </w:tcPr>
          <w:p w14:paraId="13B00D85" w14:textId="57E8E184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CIPN20 showed small-mod ES in detecting change throughout treatment progression (r=0.09-0.46)</w:t>
            </w:r>
          </w:p>
        </w:tc>
        <w:tc>
          <w:tcPr>
            <w:tcW w:w="710" w:type="dxa"/>
            <w:gridSpan w:val="2"/>
          </w:tcPr>
          <w:p w14:paraId="64036A4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211F4A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4CCCEF23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6D327389" w14:textId="3AB6EDA0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FACT/GOG-N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438740C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(Huang et al 2007)</w:t>
            </w:r>
          </w:p>
        </w:tc>
        <w:tc>
          <w:tcPr>
            <w:tcW w:w="709" w:type="dxa"/>
          </w:tcPr>
          <w:p w14:paraId="36CE30B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F2FF5C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0DF4EBE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70-116</w:t>
            </w:r>
          </w:p>
        </w:tc>
        <w:tc>
          <w:tcPr>
            <w:tcW w:w="1841" w:type="dxa"/>
          </w:tcPr>
          <w:p w14:paraId="080B96A7" w14:textId="5E15D5DB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Cronbach's α </w:t>
            </w:r>
            <w:r w:rsidR="00B633D3" w:rsidRPr="00DF6DF1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0.8-0.85 for total scale. </w:t>
            </w:r>
          </w:p>
          <w:p w14:paraId="3F9F36F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Sensory subscale was 0.73-0.91</w:t>
            </w:r>
          </w:p>
        </w:tc>
        <w:tc>
          <w:tcPr>
            <w:tcW w:w="572" w:type="dxa"/>
          </w:tcPr>
          <w:p w14:paraId="5A0BB72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E7F54A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45E0391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70-116</w:t>
            </w:r>
          </w:p>
        </w:tc>
        <w:tc>
          <w:tcPr>
            <w:tcW w:w="1840" w:type="dxa"/>
          </w:tcPr>
          <w:p w14:paraId="45FA9200" w14:textId="06BA22BB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r w:rsidR="00B633D3" w:rsidRPr="00DF6D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on neurotoxic treatment reported higher scores. </w:t>
            </w:r>
          </w:p>
        </w:tc>
        <w:tc>
          <w:tcPr>
            <w:tcW w:w="711" w:type="dxa"/>
            <w:gridSpan w:val="2"/>
          </w:tcPr>
          <w:p w14:paraId="38BFECC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70-116</w:t>
            </w:r>
          </w:p>
        </w:tc>
        <w:tc>
          <w:tcPr>
            <w:tcW w:w="1842" w:type="dxa"/>
          </w:tcPr>
          <w:p w14:paraId="35EA916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Fitted linear mixed model estimate indicated that scores increased significantly (P&lt;0.001) from 3.67 at baseline to 8.13 pre cycle 7</w:t>
            </w:r>
          </w:p>
        </w:tc>
        <w:tc>
          <w:tcPr>
            <w:tcW w:w="710" w:type="dxa"/>
            <w:gridSpan w:val="2"/>
          </w:tcPr>
          <w:p w14:paraId="02D864A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29AEEE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2E4E7EFD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6CFEF7E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FACT/GOG-Ntx12/13</w:t>
            </w:r>
          </w:p>
          <w:p w14:paraId="0C79C2E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Kopec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et al 2006)</w:t>
            </w:r>
          </w:p>
        </w:tc>
        <w:tc>
          <w:tcPr>
            <w:tcW w:w="709" w:type="dxa"/>
          </w:tcPr>
          <w:p w14:paraId="3637956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41" w:type="dxa"/>
          </w:tcPr>
          <w:p w14:paraId="0D6B56B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EFA demonstrated scale is unidimensional</w:t>
            </w:r>
          </w:p>
        </w:tc>
        <w:tc>
          <w:tcPr>
            <w:tcW w:w="710" w:type="dxa"/>
          </w:tcPr>
          <w:p w14:paraId="69E9F96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41" w:type="dxa"/>
          </w:tcPr>
          <w:p w14:paraId="5011BF3B" w14:textId="5312398E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Cronbach's α was 0.85 for total scale </w:t>
            </w:r>
          </w:p>
          <w:p w14:paraId="53E219F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40B094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66F958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11C8206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40" w:type="dxa"/>
          </w:tcPr>
          <w:p w14:paraId="458EF5E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Correlation with NCI-Sanofi was 0.53</w:t>
            </w:r>
          </w:p>
        </w:tc>
        <w:tc>
          <w:tcPr>
            <w:tcW w:w="711" w:type="dxa"/>
            <w:gridSpan w:val="2"/>
          </w:tcPr>
          <w:p w14:paraId="187BFEB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42" w:type="dxa"/>
          </w:tcPr>
          <w:p w14:paraId="67E6EED1" w14:textId="3A46053F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Mean scores increased during chemotherapy from baseline to cycle 2, and at 6 months</w:t>
            </w:r>
          </w:p>
        </w:tc>
        <w:tc>
          <w:tcPr>
            <w:tcW w:w="710" w:type="dxa"/>
            <w:gridSpan w:val="2"/>
          </w:tcPr>
          <w:p w14:paraId="2164C74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23ECD1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1BBC1DF3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146A7A0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FACT/GOG-Ntx11</w:t>
            </w:r>
          </w:p>
          <w:p w14:paraId="53D7B79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(Calhoun et al 2003)</w:t>
            </w:r>
          </w:p>
        </w:tc>
        <w:tc>
          <w:tcPr>
            <w:tcW w:w="709" w:type="dxa"/>
          </w:tcPr>
          <w:p w14:paraId="15AA979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C8621C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50CA58F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14-56</w:t>
            </w:r>
          </w:p>
        </w:tc>
        <w:tc>
          <w:tcPr>
            <w:tcW w:w="1841" w:type="dxa"/>
          </w:tcPr>
          <w:p w14:paraId="7DC3996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exceeded 0.70 in 11 of 12 assessments</w:t>
            </w:r>
          </w:p>
        </w:tc>
        <w:tc>
          <w:tcPr>
            <w:tcW w:w="572" w:type="dxa"/>
          </w:tcPr>
          <w:p w14:paraId="53E0DB8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453E06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50D3C48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14-56</w:t>
            </w:r>
          </w:p>
        </w:tc>
        <w:tc>
          <w:tcPr>
            <w:tcW w:w="1840" w:type="dxa"/>
          </w:tcPr>
          <w:p w14:paraId="672645A1" w14:textId="0E196120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Significant difference in PROM score between patients and controls at baseline, 3</w:t>
            </w:r>
            <w:r w:rsidR="00660030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6 months 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F/U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gridSpan w:val="2"/>
          </w:tcPr>
          <w:p w14:paraId="424A173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14-56</w:t>
            </w:r>
          </w:p>
        </w:tc>
        <w:tc>
          <w:tcPr>
            <w:tcW w:w="1842" w:type="dxa"/>
          </w:tcPr>
          <w:p w14:paraId="2F6A72A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No significant difference in FACT/GOG-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Ntx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score between patients with improved, stable or declined quality of life</w:t>
            </w:r>
          </w:p>
        </w:tc>
        <w:tc>
          <w:tcPr>
            <w:tcW w:w="710" w:type="dxa"/>
            <w:gridSpan w:val="2"/>
          </w:tcPr>
          <w:p w14:paraId="21BC3A7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D1AE47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0ACAE05E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1AD5AFE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FACT/GOG-Ntx11</w:t>
            </w:r>
          </w:p>
          <w:p w14:paraId="12C9BC0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Cella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et al 2003)</w:t>
            </w:r>
          </w:p>
        </w:tc>
        <w:tc>
          <w:tcPr>
            <w:tcW w:w="709" w:type="dxa"/>
          </w:tcPr>
          <w:p w14:paraId="603E6E1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6117E1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81FBC4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171-196</w:t>
            </w:r>
          </w:p>
        </w:tc>
        <w:tc>
          <w:tcPr>
            <w:tcW w:w="1841" w:type="dxa"/>
          </w:tcPr>
          <w:p w14:paraId="7486F44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ranged 0.82-0.86</w:t>
            </w:r>
          </w:p>
        </w:tc>
        <w:tc>
          <w:tcPr>
            <w:tcW w:w="572" w:type="dxa"/>
          </w:tcPr>
          <w:p w14:paraId="7855B3E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AE4D2E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077CDF1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C8714A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453107D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42" w:type="dxa"/>
          </w:tcPr>
          <w:p w14:paraId="05069887" w14:textId="3155869F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Compared to baseline, ES at 6 weeks was 0.4 and 12 weeks was 1.01 </w:t>
            </w:r>
          </w:p>
        </w:tc>
        <w:tc>
          <w:tcPr>
            <w:tcW w:w="710" w:type="dxa"/>
            <w:gridSpan w:val="2"/>
          </w:tcPr>
          <w:p w14:paraId="6916293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238095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5BB2E620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240E2B8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FACT/GOG-Ntx11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br/>
              <w:t>Chinese version (Cheng et al 2020)</w:t>
            </w:r>
          </w:p>
        </w:tc>
        <w:tc>
          <w:tcPr>
            <w:tcW w:w="709" w:type="dxa"/>
          </w:tcPr>
          <w:p w14:paraId="4EA78D9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118-343</w:t>
            </w:r>
          </w:p>
        </w:tc>
        <w:tc>
          <w:tcPr>
            <w:tcW w:w="1841" w:type="dxa"/>
          </w:tcPr>
          <w:p w14:paraId="0CEEB2C5" w14:textId="391A5801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CFA indicated that fit ind</w:t>
            </w:r>
            <w:r w:rsidR="000E2F22" w:rsidRPr="00DF6DF1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es did not meet standard of fit criteria at each timepoint</w:t>
            </w:r>
          </w:p>
        </w:tc>
        <w:tc>
          <w:tcPr>
            <w:tcW w:w="710" w:type="dxa"/>
          </w:tcPr>
          <w:p w14:paraId="3C4CE0C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118-343</w:t>
            </w:r>
          </w:p>
        </w:tc>
        <w:tc>
          <w:tcPr>
            <w:tcW w:w="1841" w:type="dxa"/>
          </w:tcPr>
          <w:p w14:paraId="6C58B28C" w14:textId="1CF4ABEB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ranged 0.82-0.89 from baseline to 12m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onths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F/U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1C686CB" w14:textId="7161016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Cronbach's α were stably adequate for three of the four domains (0.64-0.90) </w:t>
            </w:r>
          </w:p>
        </w:tc>
        <w:tc>
          <w:tcPr>
            <w:tcW w:w="572" w:type="dxa"/>
          </w:tcPr>
          <w:p w14:paraId="582DDCC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27CBA7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360ACCE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118-343</w:t>
            </w:r>
          </w:p>
        </w:tc>
        <w:tc>
          <w:tcPr>
            <w:tcW w:w="1840" w:type="dxa"/>
          </w:tcPr>
          <w:p w14:paraId="5762EFF6" w14:textId="5A0DFB35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FACT/GOG showed mod-high associations with EORTC-CIPN20 at all timepoints (r=0.79-0.93), low-mod correlations to NCI sensory (r=0.23-0.45 and NCI motor (r=0.15-0.5)</w:t>
            </w:r>
          </w:p>
        </w:tc>
        <w:tc>
          <w:tcPr>
            <w:tcW w:w="711" w:type="dxa"/>
            <w:gridSpan w:val="2"/>
          </w:tcPr>
          <w:p w14:paraId="099CA5D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118-343</w:t>
            </w:r>
          </w:p>
        </w:tc>
        <w:tc>
          <w:tcPr>
            <w:tcW w:w="1842" w:type="dxa"/>
          </w:tcPr>
          <w:p w14:paraId="59939534" w14:textId="656AF9A4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Estimated marginal means of scores significantly decreased over time (Wald chi-square- 113.6, P&lt;0.001)</w:t>
            </w:r>
          </w:p>
        </w:tc>
        <w:tc>
          <w:tcPr>
            <w:tcW w:w="710" w:type="dxa"/>
            <w:gridSpan w:val="2"/>
          </w:tcPr>
          <w:p w14:paraId="0DCFD32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118-343</w:t>
            </w:r>
          </w:p>
        </w:tc>
        <w:tc>
          <w:tcPr>
            <w:tcW w:w="1588" w:type="dxa"/>
          </w:tcPr>
          <w:p w14:paraId="78E3F17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Distribution-based method yielded MCID values of 1.38-2.21 using 0.3SD and 2.30-3.68 using 0.5SD</w:t>
            </w:r>
          </w:p>
        </w:tc>
      </w:tr>
      <w:tr w:rsidR="00DF6DF1" w:rsidRPr="00DF6DF1" w14:paraId="4D7CCCB1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7933448B" w14:textId="1C4D23C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GOG-N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X11</w:t>
            </w:r>
          </w:p>
          <w:p w14:paraId="3ED9906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Almadrones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et al 2004)</w:t>
            </w:r>
          </w:p>
        </w:tc>
        <w:tc>
          <w:tcPr>
            <w:tcW w:w="709" w:type="dxa"/>
          </w:tcPr>
          <w:p w14:paraId="3B861F8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67-88</w:t>
            </w:r>
          </w:p>
        </w:tc>
        <w:tc>
          <w:tcPr>
            <w:tcW w:w="1841" w:type="dxa"/>
          </w:tcPr>
          <w:p w14:paraId="237462E6" w14:textId="42AEFAD3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EFA anticipated two-factor structure (upper/lower). </w:t>
            </w:r>
            <w:r w:rsidR="000E2F22" w:rsidRPr="00DF6D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ll items loaded clearly on one factor</w:t>
            </w:r>
          </w:p>
          <w:p w14:paraId="4302D7C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or the other </w:t>
            </w:r>
          </w:p>
        </w:tc>
        <w:tc>
          <w:tcPr>
            <w:tcW w:w="710" w:type="dxa"/>
          </w:tcPr>
          <w:p w14:paraId="5F1C353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67-88</w:t>
            </w:r>
          </w:p>
        </w:tc>
        <w:tc>
          <w:tcPr>
            <w:tcW w:w="1841" w:type="dxa"/>
          </w:tcPr>
          <w:p w14:paraId="583390D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ranged 0.89-0.91</w:t>
            </w:r>
          </w:p>
        </w:tc>
        <w:tc>
          <w:tcPr>
            <w:tcW w:w="572" w:type="dxa"/>
          </w:tcPr>
          <w:p w14:paraId="4D47A77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0EFB47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16EB940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69A6CA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4D46ADD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67-88</w:t>
            </w:r>
          </w:p>
        </w:tc>
        <w:tc>
          <w:tcPr>
            <w:tcW w:w="1842" w:type="dxa"/>
          </w:tcPr>
          <w:p w14:paraId="1572F870" w14:textId="32FF4B8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Significant changes existed in </w:t>
            </w:r>
            <w:r w:rsidR="006E3960" w:rsidRPr="00DF6DF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etween pre-treatment and end of treatment</w:t>
            </w:r>
          </w:p>
        </w:tc>
        <w:tc>
          <w:tcPr>
            <w:tcW w:w="710" w:type="dxa"/>
            <w:gridSpan w:val="2"/>
          </w:tcPr>
          <w:p w14:paraId="76B19EA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7204ED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50BB0980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47C58C8D" w14:textId="1A49AC7E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FACT/GOG-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Chinese Version</w:t>
            </w:r>
          </w:p>
          <w:p w14:paraId="00ADC66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(Cheng et al 2019)</w:t>
            </w:r>
          </w:p>
        </w:tc>
        <w:tc>
          <w:tcPr>
            <w:tcW w:w="709" w:type="dxa"/>
          </w:tcPr>
          <w:p w14:paraId="25A22F3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1" w:type="dxa"/>
          </w:tcPr>
          <w:p w14:paraId="59F964B6" w14:textId="4514CF2F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Three factor structure of FACT/GOG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Ntx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not well supported</w:t>
            </w:r>
          </w:p>
        </w:tc>
        <w:tc>
          <w:tcPr>
            <w:tcW w:w="710" w:type="dxa"/>
          </w:tcPr>
          <w:p w14:paraId="4F996D6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1" w:type="dxa"/>
          </w:tcPr>
          <w:p w14:paraId="4C06CAF4" w14:textId="467D32C3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of 0.82-0.91 at all assessment timepoints</w:t>
            </w:r>
          </w:p>
        </w:tc>
        <w:tc>
          <w:tcPr>
            <w:tcW w:w="572" w:type="dxa"/>
          </w:tcPr>
          <w:p w14:paraId="3BA4D7D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DFA48B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45C3C7D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0" w:type="dxa"/>
          </w:tcPr>
          <w:p w14:paraId="02D5F0D4" w14:textId="4CCAC640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FACT/GOG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moderately correlated to WHO-CIPN from cycle 5 to 9m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onths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904" w:rsidRPr="00DF6DF1">
              <w:rPr>
                <w:rFonts w:ascii="Times New Roman" w:hAnsi="Times New Roman" w:cs="Times New Roman"/>
                <w:sz w:val="20"/>
                <w:szCs w:val="20"/>
              </w:rPr>
              <w:t>F/U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(r=-0.42</w:t>
            </w:r>
            <w:r w:rsidR="00AF0C47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0C47" w:rsidRPr="00DF6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.46).</w:t>
            </w:r>
          </w:p>
          <w:p w14:paraId="64849C34" w14:textId="5B293A5E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FACT/GOG moderately associated with NCI sensory from cycle 3 to 12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r w:rsidR="00043904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F/U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(r=0.44-0.55).</w:t>
            </w:r>
          </w:p>
          <w:p w14:paraId="4E6950A8" w14:textId="04763B5E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Age differences were identified at 3 timepoints </w:t>
            </w:r>
          </w:p>
        </w:tc>
        <w:tc>
          <w:tcPr>
            <w:tcW w:w="711" w:type="dxa"/>
            <w:gridSpan w:val="2"/>
          </w:tcPr>
          <w:p w14:paraId="39481EB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2" w:type="dxa"/>
          </w:tcPr>
          <w:p w14:paraId="1ED00D1B" w14:textId="46D0285D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Small-moderate ES in detecting change throughout treatment progression (r= 0.11-0.35)</w:t>
            </w:r>
          </w:p>
        </w:tc>
        <w:tc>
          <w:tcPr>
            <w:tcW w:w="710" w:type="dxa"/>
            <w:gridSpan w:val="2"/>
          </w:tcPr>
          <w:p w14:paraId="2E93937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E8DCB3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0C82940C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326856A2" w14:textId="0C1E6F69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FACT/GOG-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43904" w:rsidRPr="00DF6DF1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  <w:proofErr w:type="spellEnd"/>
          </w:p>
          <w:p w14:paraId="67D0443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(Alberti et al 2021)</w:t>
            </w:r>
          </w:p>
        </w:tc>
        <w:tc>
          <w:tcPr>
            <w:tcW w:w="709" w:type="dxa"/>
          </w:tcPr>
          <w:p w14:paraId="3BD6CBA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A4E8F7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2E1C57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A61DAF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7719590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279E0C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38AFF30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10A2B4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0E2A37C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42" w:type="dxa"/>
          </w:tcPr>
          <w:p w14:paraId="04AB8F7D" w14:textId="76FE1F55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Significant score change</w:t>
            </w:r>
            <w:r w:rsidR="0017408F" w:rsidRPr="00DF6D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from baseline to end of treatment (ES= 2.47, P&lt;0.001)</w:t>
            </w:r>
          </w:p>
        </w:tc>
        <w:tc>
          <w:tcPr>
            <w:tcW w:w="710" w:type="dxa"/>
            <w:gridSpan w:val="2"/>
          </w:tcPr>
          <w:p w14:paraId="44AC63F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4848F8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11D77371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087642B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CIPNAT</w:t>
            </w:r>
          </w:p>
          <w:p w14:paraId="3BEA1C5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Tofthagen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et al 2011)</w:t>
            </w:r>
          </w:p>
        </w:tc>
        <w:tc>
          <w:tcPr>
            <w:tcW w:w="709" w:type="dxa"/>
          </w:tcPr>
          <w:p w14:paraId="1F4E998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5650BB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30802BE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41" w:type="dxa"/>
          </w:tcPr>
          <w:p w14:paraId="401FFE8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Cronbach’s α for total CIPNAT was 0.95, symptom experience items 0.93 and interference items 0.91</w:t>
            </w:r>
          </w:p>
        </w:tc>
        <w:tc>
          <w:tcPr>
            <w:tcW w:w="572" w:type="dxa"/>
          </w:tcPr>
          <w:p w14:paraId="267445D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9" w:type="dxa"/>
          </w:tcPr>
          <w:p w14:paraId="55A7A61D" w14:textId="73641924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Test-retest scores were all highly correlated for entire measure (r=0.93, P&lt;0.001), symptom experience (r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0.89, P&lt;0.001) and interference items (r=0.93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P&lt;0.001)</w:t>
            </w:r>
          </w:p>
        </w:tc>
        <w:tc>
          <w:tcPr>
            <w:tcW w:w="710" w:type="dxa"/>
          </w:tcPr>
          <w:p w14:paraId="1B9C870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840" w:type="dxa"/>
          </w:tcPr>
          <w:p w14:paraId="5EF58909" w14:textId="018750C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CIPNAT and FACT/GOG were highly correlated (r=0.83, P&lt;0.001).</w:t>
            </w:r>
          </w:p>
          <w:p w14:paraId="0C97088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Mean scores between patients and controls were significantly different overall, and for 2 item sets of CIPNAT</w:t>
            </w:r>
          </w:p>
        </w:tc>
        <w:tc>
          <w:tcPr>
            <w:tcW w:w="711" w:type="dxa"/>
            <w:gridSpan w:val="2"/>
          </w:tcPr>
          <w:p w14:paraId="192E9F8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AA9CE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852908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2805F5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4EEBD89F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117464D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CIPNAT-Turkish Version</w:t>
            </w:r>
          </w:p>
          <w:p w14:paraId="394C30D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Simsek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et al 2018)</w:t>
            </w:r>
          </w:p>
        </w:tc>
        <w:tc>
          <w:tcPr>
            <w:tcW w:w="709" w:type="dxa"/>
          </w:tcPr>
          <w:p w14:paraId="3AFB7C0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841" w:type="dxa"/>
          </w:tcPr>
          <w:p w14:paraId="5CD302E5" w14:textId="58E4C9A5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PCA conducted, and structures (disturbance, emotional, frequency, disturbance in daily life) yielded factor powers of 0.553-0.937</w:t>
            </w:r>
          </w:p>
        </w:tc>
        <w:tc>
          <w:tcPr>
            <w:tcW w:w="710" w:type="dxa"/>
          </w:tcPr>
          <w:p w14:paraId="2622F4E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841" w:type="dxa"/>
          </w:tcPr>
          <w:p w14:paraId="261A9A2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was 0.87 for whole scale, structures ranged 0.87-0.97</w:t>
            </w:r>
          </w:p>
        </w:tc>
        <w:tc>
          <w:tcPr>
            <w:tcW w:w="572" w:type="dxa"/>
          </w:tcPr>
          <w:p w14:paraId="6598F8F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39" w:type="dxa"/>
          </w:tcPr>
          <w:p w14:paraId="38945FBE" w14:textId="652FFA08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Re-test 2 weeks later showed strong correlation between tests (ranged 0.9-0.93 for each subscale)</w:t>
            </w:r>
          </w:p>
        </w:tc>
        <w:tc>
          <w:tcPr>
            <w:tcW w:w="710" w:type="dxa"/>
          </w:tcPr>
          <w:p w14:paraId="2F29DC7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3FB459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09A906C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75A2D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1FF4BB7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AC8A84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39A0A02E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48E2342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CIPNAT- Turkish Version</w:t>
            </w:r>
          </w:p>
          <w:p w14:paraId="28F6FD8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Kutluturkan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et al 2017)</w:t>
            </w:r>
          </w:p>
        </w:tc>
        <w:tc>
          <w:tcPr>
            <w:tcW w:w="709" w:type="dxa"/>
          </w:tcPr>
          <w:p w14:paraId="2669039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841" w:type="dxa"/>
          </w:tcPr>
          <w:p w14:paraId="25BB0EF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CFA was conducted and verified structure of PROM</w:t>
            </w:r>
          </w:p>
        </w:tc>
        <w:tc>
          <w:tcPr>
            <w:tcW w:w="710" w:type="dxa"/>
          </w:tcPr>
          <w:p w14:paraId="14392D0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841" w:type="dxa"/>
          </w:tcPr>
          <w:p w14:paraId="7080906C" w14:textId="070F75F1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Cronbach's α for entire scale is 0.971. Coefficients for sensory, motor, fine motor activities and general activities </w:t>
            </w:r>
            <w:r w:rsidR="00414108" w:rsidRPr="00DF6DF1">
              <w:rPr>
                <w:rFonts w:ascii="Times New Roman" w:hAnsi="Times New Roman" w:cs="Times New Roman"/>
                <w:sz w:val="20"/>
                <w:szCs w:val="20"/>
              </w:rPr>
              <w:t>subscales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ranged 0.81-0.97</w:t>
            </w:r>
          </w:p>
        </w:tc>
        <w:tc>
          <w:tcPr>
            <w:tcW w:w="572" w:type="dxa"/>
          </w:tcPr>
          <w:p w14:paraId="0F31724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9" w:type="dxa"/>
          </w:tcPr>
          <w:p w14:paraId="76F8D431" w14:textId="772C62A8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Re-test at 2 weeks had correlation r=0.89, P&lt;0.001</w:t>
            </w:r>
          </w:p>
        </w:tc>
        <w:tc>
          <w:tcPr>
            <w:tcW w:w="710" w:type="dxa"/>
          </w:tcPr>
          <w:p w14:paraId="42F15EE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840" w:type="dxa"/>
          </w:tcPr>
          <w:p w14:paraId="40D37F24" w14:textId="7C57789A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CIPNAT subscales were all significantly correlated to CIPN20 subscales (sensory, motor, autonomic) (r=0.25-0.85, P&lt;0.001)</w:t>
            </w:r>
          </w:p>
        </w:tc>
        <w:tc>
          <w:tcPr>
            <w:tcW w:w="711" w:type="dxa"/>
            <w:gridSpan w:val="2"/>
          </w:tcPr>
          <w:p w14:paraId="0CC1682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C4DB4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51E425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4E2BE0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1F732B4C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622DE0F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TNASv1, v2</w:t>
            </w:r>
          </w:p>
          <w:p w14:paraId="151B94C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(Mendoza et al 2015)</w:t>
            </w:r>
          </w:p>
        </w:tc>
        <w:tc>
          <w:tcPr>
            <w:tcW w:w="709" w:type="dxa"/>
          </w:tcPr>
          <w:p w14:paraId="5E269F1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AB1C2D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608CA69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841" w:type="dxa"/>
          </w:tcPr>
          <w:p w14:paraId="0EE0E68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was 0.86-0.87 for whole scale, 0.80-0.85 for sensory and motor subscales</w:t>
            </w:r>
          </w:p>
        </w:tc>
        <w:tc>
          <w:tcPr>
            <w:tcW w:w="572" w:type="dxa"/>
          </w:tcPr>
          <w:p w14:paraId="64F958F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CD68F8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5E4C6CA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4F046B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00D689D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42" w:type="dxa"/>
          </w:tcPr>
          <w:p w14:paraId="12D487A7" w14:textId="79FC63A9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Comparing pre and post treatment</w:t>
            </w:r>
            <w:r w:rsidR="00126C60" w:rsidRPr="00DF6DF1">
              <w:rPr>
                <w:rFonts w:ascii="Times New Roman" w:hAnsi="Times New Roman" w:cs="Times New Roman"/>
                <w:sz w:val="20"/>
                <w:szCs w:val="20"/>
              </w:rPr>
              <w:t>, in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colorectal cancer cohort, 10/11 TNAS items significantly worsened. Multiple myeloma had 4/11 items worsened.</w:t>
            </w:r>
          </w:p>
          <w:p w14:paraId="7E64BE8C" w14:textId="0B20B39D" w:rsidR="00EA36B3" w:rsidRPr="00DF6DF1" w:rsidRDefault="00866AC0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for each item ranged 0.04-2.12</w:t>
            </w:r>
          </w:p>
        </w:tc>
        <w:tc>
          <w:tcPr>
            <w:tcW w:w="710" w:type="dxa"/>
            <w:gridSpan w:val="2"/>
          </w:tcPr>
          <w:p w14:paraId="79EEF97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FE641B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7F1DD3B6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2050D01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TNASv3</w:t>
            </w:r>
          </w:p>
          <w:p w14:paraId="574BAEC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(Mendoza et al 2020)</w:t>
            </w:r>
          </w:p>
        </w:tc>
        <w:tc>
          <w:tcPr>
            <w:tcW w:w="709" w:type="dxa"/>
          </w:tcPr>
          <w:p w14:paraId="0D7D4A3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A94B06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553FBDB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1" w:type="dxa"/>
          </w:tcPr>
          <w:p w14:paraId="095D5FE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was 0.88 and 0.9 for first and second administration</w:t>
            </w:r>
          </w:p>
        </w:tc>
        <w:tc>
          <w:tcPr>
            <w:tcW w:w="572" w:type="dxa"/>
          </w:tcPr>
          <w:p w14:paraId="5E3525F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39" w:type="dxa"/>
          </w:tcPr>
          <w:p w14:paraId="37FF4B8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ICC=0.97</w:t>
            </w:r>
          </w:p>
          <w:p w14:paraId="5801541B" w14:textId="1A246FE0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First test was completed onsite, second at home</w:t>
            </w:r>
          </w:p>
        </w:tc>
        <w:tc>
          <w:tcPr>
            <w:tcW w:w="710" w:type="dxa"/>
          </w:tcPr>
          <w:p w14:paraId="4604766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43E80F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5CE75F9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4C3E5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EFF5DF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5C419C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6413122D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364FE70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CAS-CIPN</w:t>
            </w:r>
          </w:p>
          <w:p w14:paraId="325EBF6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(Kanda et al 2019)</w:t>
            </w:r>
          </w:p>
        </w:tc>
        <w:tc>
          <w:tcPr>
            <w:tcW w:w="709" w:type="dxa"/>
          </w:tcPr>
          <w:p w14:paraId="77E18D4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841" w:type="dxa"/>
          </w:tcPr>
          <w:p w14:paraId="22F70710" w14:textId="27BAC734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EFA using principal factor method, sampling validity was 0.821. 4 items were removed for high factor loading. Convergence was reached with 4 factors comprising 15 items</w:t>
            </w:r>
          </w:p>
        </w:tc>
        <w:tc>
          <w:tcPr>
            <w:tcW w:w="710" w:type="dxa"/>
          </w:tcPr>
          <w:p w14:paraId="79D6B1E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841" w:type="dxa"/>
          </w:tcPr>
          <w:p w14:paraId="3C74A50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was 0.826 for entire scale. Subscales ranged 0.757-0.860</w:t>
            </w:r>
          </w:p>
        </w:tc>
        <w:tc>
          <w:tcPr>
            <w:tcW w:w="572" w:type="dxa"/>
          </w:tcPr>
          <w:p w14:paraId="61EB751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0F745F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4943524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0" w:type="dxa"/>
          </w:tcPr>
          <w:p w14:paraId="36B7F67C" w14:textId="4555CD12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Participants divided between high and low scoring groups on total </w:t>
            </w:r>
            <w:r w:rsidR="00043904" w:rsidRPr="00DF6DF1">
              <w:rPr>
                <w:rFonts w:ascii="Times New Roman" w:hAnsi="Times New Roman" w:cs="Times New Roman"/>
                <w:sz w:val="20"/>
                <w:szCs w:val="20"/>
              </w:rPr>
              <w:t>FACT/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GOG scores. There was a significant difference of 22.6 points on CAS-CIPN (P&lt;0.001)</w:t>
            </w:r>
          </w:p>
        </w:tc>
        <w:tc>
          <w:tcPr>
            <w:tcW w:w="711" w:type="dxa"/>
            <w:gridSpan w:val="2"/>
          </w:tcPr>
          <w:p w14:paraId="4A77CF9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636D7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E6BE62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C69DB6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5AC0B7A4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4AAD29A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ICPNQ</w:t>
            </w:r>
          </w:p>
          <w:p w14:paraId="7024D02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Beijers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et al 2016)</w:t>
            </w:r>
          </w:p>
        </w:tc>
        <w:tc>
          <w:tcPr>
            <w:tcW w:w="709" w:type="dxa"/>
          </w:tcPr>
          <w:p w14:paraId="4F5331A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5A3BAE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354588A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1" w:type="dxa"/>
          </w:tcPr>
          <w:p w14:paraId="479867FA" w14:textId="227BA6EF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Cronbach’s α for sensory and motor subscales were 0.84 and 0.74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and α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of autonomic scale was moderate 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r w:rsidR="00DC67E2" w:rsidRPr="00DF6D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72" w:type="dxa"/>
          </w:tcPr>
          <w:p w14:paraId="3CD9BE9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39" w:type="dxa"/>
          </w:tcPr>
          <w:p w14:paraId="08712F07" w14:textId="13736BF6" w:rsidR="00EA36B3" w:rsidRPr="00DF6DF1" w:rsidRDefault="00DC67E2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Good t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est- retest reliability 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after 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>1 month IC</w:t>
            </w:r>
            <w:r w:rsidR="006613F5" w:rsidRPr="00DF6DF1">
              <w:rPr>
                <w:rFonts w:ascii="Times New Roman" w:hAnsi="Times New Roman" w:cs="Times New Roman"/>
                <w:sz w:val="20"/>
                <w:szCs w:val="20"/>
              </w:rPr>
              <w:t>C=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0.83 (CI 0.76–0.89), 0.83 (CI 0.75–0.89), and 0.77 (CI 0.67–0.84) for sensory, motor, and autonomic scales. Test-retest for the defined ICPNQ grades </w:t>
            </w:r>
            <w:r w:rsidR="001A680F" w:rsidRPr="00DF6DF1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0.67 (CI 0.53–0.77)</w:t>
            </w:r>
          </w:p>
        </w:tc>
        <w:tc>
          <w:tcPr>
            <w:tcW w:w="710" w:type="dxa"/>
          </w:tcPr>
          <w:p w14:paraId="7925CB4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0" w:type="dxa"/>
          </w:tcPr>
          <w:p w14:paraId="0CB85224" w14:textId="1472A4F8" w:rsidR="00EA36B3" w:rsidRPr="00DF6DF1" w:rsidRDefault="00EA36B3" w:rsidP="007E7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All subscales correlated with CIPN20 (r</w:t>
            </w:r>
            <w:r w:rsidR="007E79C3" w:rsidRPr="00DF6D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0.40- 0.72). ICPNQ able to distinguish patients who did/did not receive chemotherapy (P=0.006) and who had a lower physical performance status (P=0.001)</w:t>
            </w:r>
          </w:p>
        </w:tc>
        <w:tc>
          <w:tcPr>
            <w:tcW w:w="711" w:type="dxa"/>
            <w:gridSpan w:val="2"/>
          </w:tcPr>
          <w:p w14:paraId="1633DDB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CC5BA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60E5617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AD93B3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44342399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2E51FD8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K-NTX-4</w:t>
            </w:r>
          </w:p>
          <w:p w14:paraId="1A78BE1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(Lee et al 2019)</w:t>
            </w:r>
          </w:p>
        </w:tc>
        <w:tc>
          <w:tcPr>
            <w:tcW w:w="709" w:type="dxa"/>
          </w:tcPr>
          <w:p w14:paraId="2520AD0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19BB6D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DC3591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841" w:type="dxa"/>
          </w:tcPr>
          <w:p w14:paraId="4A3E67C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Cronbach's α was 0.89</w:t>
            </w:r>
          </w:p>
        </w:tc>
        <w:tc>
          <w:tcPr>
            <w:tcW w:w="572" w:type="dxa"/>
          </w:tcPr>
          <w:p w14:paraId="571F363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39" w:type="dxa"/>
          </w:tcPr>
          <w:p w14:paraId="636F0942" w14:textId="19E83C79" w:rsidR="00EA36B3" w:rsidRPr="00DF6DF1" w:rsidRDefault="002464F9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>test at 7-21 days later ICC=0.84</w:t>
            </w:r>
          </w:p>
        </w:tc>
        <w:tc>
          <w:tcPr>
            <w:tcW w:w="710" w:type="dxa"/>
          </w:tcPr>
          <w:p w14:paraId="35C314C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840" w:type="dxa"/>
          </w:tcPr>
          <w:p w14:paraId="5D252E05" w14:textId="77777777" w:rsidR="00D14FCA" w:rsidRPr="00DF6DF1" w:rsidRDefault="00EA36B3" w:rsidP="00D1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Weak correlation between </w:t>
            </w:r>
            <w:r w:rsidR="00021996" w:rsidRPr="00DF6DF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-NTX-4 and </w:t>
            </w:r>
            <w:r w:rsidR="00D14FCA" w:rsidRPr="00DF6DF1">
              <w:rPr>
                <w:rFonts w:ascii="Times New Roman" w:hAnsi="Times New Roman" w:cs="Times New Roman"/>
                <w:sz w:val="20"/>
                <w:szCs w:val="20"/>
              </w:rPr>
              <w:t>Korean National Comprehensive Cancer Network (NCCN)–</w:t>
            </w:r>
          </w:p>
          <w:p w14:paraId="76636528" w14:textId="77777777" w:rsidR="00D14FCA" w:rsidRPr="00DF6DF1" w:rsidRDefault="00D14FCA" w:rsidP="00D1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Functional Assessment of Cancer Therapy (FACT) Ovarian</w:t>
            </w:r>
          </w:p>
          <w:p w14:paraId="24F9DDDB" w14:textId="77777777" w:rsidR="0091768A" w:rsidRPr="00DF6DF1" w:rsidRDefault="00D14FCA" w:rsidP="0091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Symptom Index-18 (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>K-NFOSI-18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r=0.348). </w:t>
            </w:r>
            <w:r w:rsidR="00F77C70" w:rsidRPr="00DF6DF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>eak-mod correlation to</w:t>
            </w:r>
            <w:r w:rsidR="0091768A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Korean version of the Euro-</w:t>
            </w:r>
          </w:p>
          <w:p w14:paraId="1801BE90" w14:textId="070DC8E4" w:rsidR="00EA36B3" w:rsidRPr="00DF6DF1" w:rsidRDefault="0091768A" w:rsidP="0091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QoL-5 Dimension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>K-EQ5D), r=0.2-0.5</w:t>
            </w:r>
          </w:p>
        </w:tc>
        <w:tc>
          <w:tcPr>
            <w:tcW w:w="711" w:type="dxa"/>
            <w:gridSpan w:val="2"/>
          </w:tcPr>
          <w:p w14:paraId="15F855B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FDC25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C159AE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3E3C61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32CAB1BC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1F466EF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CIPN R-ODS</w:t>
            </w:r>
          </w:p>
          <w:p w14:paraId="6C1CA18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(Binda et al 2013)</w:t>
            </w:r>
          </w:p>
        </w:tc>
        <w:tc>
          <w:tcPr>
            <w:tcW w:w="709" w:type="dxa"/>
          </w:tcPr>
          <w:p w14:paraId="216E563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0ED8A0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53D48AB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841" w:type="dxa"/>
          </w:tcPr>
          <w:p w14:paraId="1BDAE22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Pearson separation index (PSI) value was high (0.92)</w:t>
            </w:r>
          </w:p>
        </w:tc>
        <w:tc>
          <w:tcPr>
            <w:tcW w:w="572" w:type="dxa"/>
          </w:tcPr>
          <w:p w14:paraId="3722D12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839" w:type="dxa"/>
          </w:tcPr>
          <w:p w14:paraId="4DBF9179" w14:textId="7991CAD4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2464F9" w:rsidRPr="00DF6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test 2-3 weeks later, acceptable test-retest reliability- items' </w:t>
            </w:r>
            <w:r w:rsidR="00F77C70" w:rsidRPr="00DF6DF1">
              <w:rPr>
                <w:rFonts w:ascii="Times New Roman" w:hAnsi="Times New Roman" w:cs="Times New Roman"/>
                <w:sz w:val="20"/>
                <w:szCs w:val="20"/>
              </w:rPr>
              <w:t>hierarchy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and patients'</w:t>
            </w:r>
            <w:r w:rsidR="00405435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ability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location were mainly within 95% </w:t>
            </w:r>
            <w:r w:rsidR="00ED0162" w:rsidRPr="00DF6DF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710" w:type="dxa"/>
          </w:tcPr>
          <w:p w14:paraId="493CBEE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A7465A1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1E6BB6C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50536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159C5F1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AF9234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0D118B99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25113E7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OANQ/CINQ</w:t>
            </w:r>
          </w:p>
          <w:p w14:paraId="2195DB1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(Gustafsson et al 2016)</w:t>
            </w:r>
          </w:p>
        </w:tc>
        <w:tc>
          <w:tcPr>
            <w:tcW w:w="709" w:type="dxa"/>
          </w:tcPr>
          <w:p w14:paraId="0D02808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409BB5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464116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1" w:type="dxa"/>
          </w:tcPr>
          <w:p w14:paraId="3DFD7E3B" w14:textId="27DD620A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Cronbach α for total as well as three domains (upper/lower/oral) were 0.84-0.94</w:t>
            </w:r>
          </w:p>
        </w:tc>
        <w:tc>
          <w:tcPr>
            <w:tcW w:w="572" w:type="dxa"/>
          </w:tcPr>
          <w:p w14:paraId="40E06C2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39" w:type="dxa"/>
          </w:tcPr>
          <w:p w14:paraId="7CA31D3D" w14:textId="1822A5FA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Re-test 1 hour later</w:t>
            </w:r>
            <w:r w:rsidR="00955BA3" w:rsidRPr="00DF6DF1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o significant differences for each of 3 domains. </w:t>
            </w:r>
          </w:p>
          <w:p w14:paraId="18A5A905" w14:textId="466AD9D2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ICC showed 69% of symptoms had excellent reproducibility, 24% was fair-good and 7% were poor</w:t>
            </w:r>
          </w:p>
        </w:tc>
        <w:tc>
          <w:tcPr>
            <w:tcW w:w="710" w:type="dxa"/>
          </w:tcPr>
          <w:p w14:paraId="2651E20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E59361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2F7D848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52C76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6BB96EE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3E0405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3D842909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75252A5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PRO-CTCAE</w:t>
            </w:r>
          </w:p>
          <w:p w14:paraId="2DD57F6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(Dueck et al 2015)</w:t>
            </w:r>
          </w:p>
        </w:tc>
        <w:tc>
          <w:tcPr>
            <w:tcW w:w="709" w:type="dxa"/>
          </w:tcPr>
          <w:p w14:paraId="728576B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5295F8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1F432F8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F83850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392DA0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39" w:type="dxa"/>
          </w:tcPr>
          <w:p w14:paraId="53C2DD7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Re-test 1 day later. ICC for severity is 0.8, interference is 0.55</w:t>
            </w:r>
          </w:p>
        </w:tc>
        <w:tc>
          <w:tcPr>
            <w:tcW w:w="710" w:type="dxa"/>
          </w:tcPr>
          <w:p w14:paraId="75B7DEE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840" w:type="dxa"/>
          </w:tcPr>
          <w:p w14:paraId="29EFEDC2" w14:textId="76B633CB" w:rsidR="00EA36B3" w:rsidRPr="00DF6DF1" w:rsidRDefault="0050191C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>eak-moderate correlations with physical functioning, role functioning, emotional functioning, social functioning, global health Status/QoL</w:t>
            </w:r>
            <w:r w:rsidR="00955BA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>(r=0.11-0.32)</w:t>
            </w:r>
          </w:p>
        </w:tc>
        <w:tc>
          <w:tcPr>
            <w:tcW w:w="711" w:type="dxa"/>
            <w:gridSpan w:val="2"/>
          </w:tcPr>
          <w:p w14:paraId="7481063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D8448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47CA7D4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E36205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1074A802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1227204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PRO-CTCAE</w:t>
            </w:r>
          </w:p>
          <w:p w14:paraId="020E0DC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(McCrary et al 2019)</w:t>
            </w:r>
          </w:p>
        </w:tc>
        <w:tc>
          <w:tcPr>
            <w:tcW w:w="709" w:type="dxa"/>
          </w:tcPr>
          <w:p w14:paraId="70323CF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258BA4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30EE0BC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746CC0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320DF04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BC69A9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6D24AC4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840" w:type="dxa"/>
          </w:tcPr>
          <w:p w14:paraId="32F20672" w14:textId="6A7D3152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PRO-CTCAE moderate</w:t>
            </w:r>
            <w:r w:rsidR="00B0272B" w:rsidRPr="00DF6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highly correlated to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TNSr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(r=0.56) and FACT-GOG (r=0.75).</w:t>
            </w:r>
          </w:p>
          <w:p w14:paraId="09EE1790" w14:textId="52CFAA7C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TNSr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and FACT/GOG significantly different between grades on PRO-CTCAE (P&gt;0.05)</w:t>
            </w:r>
            <w:r w:rsidR="00067D11" w:rsidRPr="00DF6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0AA21E" w14:textId="5B72D5A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PRO-CTCAE distinguish</w:t>
            </w:r>
            <w:r w:rsidR="00067D11" w:rsidRPr="00DF6DF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between mild/no (G0-1) PN to clinically significant PN (G2-4)</w:t>
            </w:r>
          </w:p>
        </w:tc>
        <w:tc>
          <w:tcPr>
            <w:tcW w:w="711" w:type="dxa"/>
            <w:gridSpan w:val="2"/>
          </w:tcPr>
          <w:p w14:paraId="48FA123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99C67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725F67B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11AE94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529AE612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665E0C5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PRO-CTCAE</w:t>
            </w:r>
          </w:p>
          <w:p w14:paraId="410B9D7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Knoerl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et al 2021)</w:t>
            </w:r>
          </w:p>
        </w:tc>
        <w:tc>
          <w:tcPr>
            <w:tcW w:w="709" w:type="dxa"/>
          </w:tcPr>
          <w:p w14:paraId="75A421A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4AD3FC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5743285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5C2FCE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46BC7D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39" w:type="dxa"/>
          </w:tcPr>
          <w:p w14:paraId="55DF1C6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Re-test after 131 mins. ICC for severity=0.79, interference=0.73</w:t>
            </w:r>
          </w:p>
        </w:tc>
        <w:tc>
          <w:tcPr>
            <w:tcW w:w="710" w:type="dxa"/>
          </w:tcPr>
          <w:p w14:paraId="6B50D72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0" w:type="dxa"/>
          </w:tcPr>
          <w:p w14:paraId="1A3C9266" w14:textId="6838033B" w:rsidR="00EA36B3" w:rsidRPr="00DF6DF1" w:rsidRDefault="00EA36B3" w:rsidP="00C5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PRO-CTCAE highly correlated (Spearman’s ρ=0.72) with QLQ-CIPN20 sensory subscale, and moderately correlated with motor subscale (ρ=0.50).</w:t>
            </w:r>
            <w:r w:rsidR="00C513FE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Low c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orrelations between 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TNSc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and PRO-CTCAE (ρ=0.30-0.48) </w:t>
            </w:r>
          </w:p>
        </w:tc>
        <w:tc>
          <w:tcPr>
            <w:tcW w:w="711" w:type="dxa"/>
            <w:gridSpan w:val="2"/>
          </w:tcPr>
          <w:p w14:paraId="20C90A0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937B0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43E2868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44F55C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1E3566CF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1B79298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PNQ</w:t>
            </w:r>
          </w:p>
          <w:p w14:paraId="123A72C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Shimozuma</w:t>
            </w:r>
            <w:proofErr w:type="spellEnd"/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et al 2009)</w:t>
            </w:r>
          </w:p>
        </w:tc>
        <w:tc>
          <w:tcPr>
            <w:tcW w:w="709" w:type="dxa"/>
          </w:tcPr>
          <w:p w14:paraId="67526DF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050D07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1759CF6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B7767E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5EDA0AE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DE1B8E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077F667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0" w:type="dxa"/>
          </w:tcPr>
          <w:p w14:paraId="3D8A901D" w14:textId="52692CC6" w:rsidR="00EA36B3" w:rsidRPr="00DF6DF1" w:rsidRDefault="00C513FE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eighted kappa </w:t>
            </w:r>
            <w:r w:rsidR="003D240C" w:rsidRPr="00DF6D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>when compared to NCI</w:t>
            </w:r>
            <w:r w:rsidR="003D240C" w:rsidRPr="00DF6D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sensory</w:t>
            </w:r>
            <w:r w:rsidR="003D240C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=0.16;</w:t>
            </w:r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40C" w:rsidRPr="00DF6DF1">
              <w:rPr>
                <w:rFonts w:ascii="Times New Roman" w:hAnsi="Times New Roman" w:cs="Times New Roman"/>
                <w:sz w:val="20"/>
                <w:szCs w:val="20"/>
              </w:rPr>
              <w:t>motor disturbance =</w:t>
            </w:r>
            <w:proofErr w:type="gramStart"/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>0.02 .</w:t>
            </w:r>
            <w:proofErr w:type="gramEnd"/>
            <w:r w:rsidR="00EA36B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PNQ sensory and motor subscales correlated with FACT/GOG (r=0.66 and r=0.51)</w:t>
            </w:r>
          </w:p>
        </w:tc>
        <w:tc>
          <w:tcPr>
            <w:tcW w:w="711" w:type="dxa"/>
            <w:gridSpan w:val="2"/>
          </w:tcPr>
          <w:p w14:paraId="07C77AC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2" w:type="dxa"/>
          </w:tcPr>
          <w:p w14:paraId="0ABF1B9D" w14:textId="65DCA82C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PNQ sensory and motor scores significantly increased </w:t>
            </w:r>
            <w:r w:rsidR="004E2503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treatment cycles increased (P&lt;0.0001)</w:t>
            </w:r>
          </w:p>
        </w:tc>
        <w:tc>
          <w:tcPr>
            <w:tcW w:w="710" w:type="dxa"/>
            <w:gridSpan w:val="2"/>
          </w:tcPr>
          <w:p w14:paraId="6093034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2F2230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F1" w:rsidRPr="00DF6DF1" w14:paraId="64CF4274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01B5C25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10-Point VAS</w:t>
            </w:r>
          </w:p>
          <w:p w14:paraId="34ED0B0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(Takemoto et al 2011)</w:t>
            </w:r>
          </w:p>
        </w:tc>
        <w:tc>
          <w:tcPr>
            <w:tcW w:w="709" w:type="dxa"/>
          </w:tcPr>
          <w:p w14:paraId="04CCBE5A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DAF2CA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0450F81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14A094F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0053E0B6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CE064C2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37863AA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383CD50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626850F3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14:paraId="56F660C7" w14:textId="561065F4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VAS score for numbness significantly increased from 1-2 and 3-4 cycle</w:t>
            </w:r>
            <w:r w:rsidR="006E6F9E" w:rsidRPr="00DF6D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10" w:type="dxa"/>
            <w:gridSpan w:val="2"/>
          </w:tcPr>
          <w:p w14:paraId="44EB9EB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E34A5F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27" w:rsidRPr="00DF6DF1" w14:paraId="62E57BFB" w14:textId="77777777" w:rsidTr="00EA36B3">
        <w:trPr>
          <w:gridAfter w:val="1"/>
          <w:wAfter w:w="47" w:type="dxa"/>
          <w:trHeight w:val="537"/>
        </w:trPr>
        <w:tc>
          <w:tcPr>
            <w:tcW w:w="1418" w:type="dxa"/>
          </w:tcPr>
          <w:p w14:paraId="7E353A8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CIPN Self check sheet</w:t>
            </w:r>
          </w:p>
          <w:p w14:paraId="5B1407F7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(Miyoshi et al 2014)</w:t>
            </w:r>
          </w:p>
        </w:tc>
        <w:tc>
          <w:tcPr>
            <w:tcW w:w="709" w:type="dxa"/>
          </w:tcPr>
          <w:p w14:paraId="2A82795B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A765DB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59F71904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78783DE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4DADE8D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B98874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258AE0F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0" w:type="dxa"/>
          </w:tcPr>
          <w:p w14:paraId="5BE58832" w14:textId="071D4C74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Compared</w:t>
            </w:r>
            <w:r w:rsidR="00002E04"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 xml:space="preserve"> self-check sheet</w:t>
            </w:r>
            <w:r w:rsidR="00002E04" w:rsidRPr="00DF6DF1">
              <w:rPr>
                <w:rFonts w:ascii="Times New Roman" w:hAnsi="Times New Roman" w:cs="Times New Roman"/>
                <w:sz w:val="20"/>
                <w:szCs w:val="20"/>
              </w:rPr>
              <w:t>, f</w:t>
            </w:r>
            <w:r w:rsidRPr="00DF6DF1">
              <w:rPr>
                <w:rFonts w:ascii="Times New Roman" w:hAnsi="Times New Roman" w:cs="Times New Roman"/>
                <w:sz w:val="20"/>
                <w:szCs w:val="20"/>
              </w:rPr>
              <w:t>ree-style interview not able to capture grade 3 symptoms. Self-check sheet able to capture all grade 3 cases, had k coefficient of 0.988 p&lt;0.01</w:t>
            </w:r>
          </w:p>
        </w:tc>
        <w:tc>
          <w:tcPr>
            <w:tcW w:w="711" w:type="dxa"/>
            <w:gridSpan w:val="2"/>
          </w:tcPr>
          <w:p w14:paraId="0FA6DAE8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28A99C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5FF896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7473C69" w14:textId="77777777" w:rsidR="00EA36B3" w:rsidRPr="00DF6DF1" w:rsidRDefault="00EA36B3" w:rsidP="003E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D24558" w14:textId="77777777" w:rsidR="00EA36B3" w:rsidRPr="00DF6DF1" w:rsidRDefault="00EA36B3" w:rsidP="00EA36B3"/>
    <w:p w14:paraId="55BB0FCB" w14:textId="77777777" w:rsidR="00EA36B3" w:rsidRPr="00DF6DF1" w:rsidRDefault="00EA36B3" w:rsidP="00EA36B3">
      <w:pPr>
        <w:rPr>
          <w:rFonts w:ascii="Times New Roman" w:hAnsi="Times New Roman" w:cs="Times New Roman"/>
          <w:b/>
          <w:bCs/>
        </w:rPr>
      </w:pPr>
      <w:r w:rsidRPr="00DF6DF1">
        <w:rPr>
          <w:rFonts w:ascii="Times New Roman" w:hAnsi="Times New Roman" w:cs="Times New Roman"/>
          <w:b/>
          <w:bCs/>
        </w:rPr>
        <w:t>S3- Measurement property results extraction</w:t>
      </w:r>
    </w:p>
    <w:p w14:paraId="6CA72D46" w14:textId="707BBF4C" w:rsidR="00A7618D" w:rsidRPr="00DF6DF1" w:rsidRDefault="004E7464">
      <w:pPr>
        <w:rPr>
          <w:rFonts w:ascii="Times New Roman" w:hAnsi="Times New Roman" w:cs="Times New Roman"/>
          <w:i/>
          <w:iCs/>
        </w:rPr>
      </w:pPr>
      <w:r w:rsidRPr="00DF6DF1">
        <w:rPr>
          <w:rFonts w:ascii="Times New Roman" w:hAnsi="Times New Roman" w:cs="Times New Roman"/>
          <w:i/>
          <w:iCs/>
        </w:rPr>
        <w:t>Abbreviations</w:t>
      </w:r>
      <w:r w:rsidR="005C2781" w:rsidRPr="00DF6DF1">
        <w:rPr>
          <w:rFonts w:ascii="Times New Roman" w:hAnsi="Times New Roman" w:cs="Times New Roman"/>
          <w:i/>
          <w:iCs/>
        </w:rPr>
        <w:t xml:space="preserve">: </w:t>
      </w:r>
      <w:r w:rsidR="006F5729" w:rsidRPr="00DF6DF1">
        <w:rPr>
          <w:rFonts w:ascii="Times New Roman" w:hAnsi="Times New Roman" w:cs="Times New Roman"/>
          <w:i/>
          <w:iCs/>
        </w:rPr>
        <w:t xml:space="preserve">CFA confirmatory factor analysis, </w:t>
      </w:r>
      <w:r w:rsidR="00043904" w:rsidRPr="00DF6DF1">
        <w:rPr>
          <w:rFonts w:ascii="Times New Roman" w:hAnsi="Times New Roman" w:cs="Times New Roman"/>
          <w:i/>
          <w:iCs/>
        </w:rPr>
        <w:t xml:space="preserve">CI confidence interval, </w:t>
      </w:r>
      <w:r w:rsidR="006F5729" w:rsidRPr="00DF6DF1">
        <w:rPr>
          <w:rFonts w:ascii="Times New Roman" w:hAnsi="Times New Roman" w:cs="Times New Roman"/>
          <w:i/>
          <w:iCs/>
        </w:rPr>
        <w:t xml:space="preserve">EFA exploratory factor analysis, </w:t>
      </w:r>
      <w:r w:rsidR="00043904" w:rsidRPr="00DF6DF1">
        <w:rPr>
          <w:rFonts w:ascii="Times New Roman" w:hAnsi="Times New Roman" w:cs="Times New Roman"/>
          <w:i/>
          <w:iCs/>
        </w:rPr>
        <w:t xml:space="preserve">ES effect size, F/U Follow-up, ICC intraclass correlation coefficient, </w:t>
      </w:r>
      <w:r w:rsidR="00C723D1" w:rsidRPr="00DF6DF1">
        <w:rPr>
          <w:rFonts w:ascii="Times New Roman" w:hAnsi="Times New Roman" w:cs="Times New Roman"/>
          <w:i/>
          <w:iCs/>
        </w:rPr>
        <w:t xml:space="preserve">MCID </w:t>
      </w:r>
      <w:r w:rsidR="005B7130" w:rsidRPr="00DF6DF1">
        <w:rPr>
          <w:rFonts w:ascii="Times New Roman" w:hAnsi="Times New Roman" w:cs="Times New Roman"/>
          <w:i/>
          <w:iCs/>
        </w:rPr>
        <w:t>minimal clinically important difference</w:t>
      </w:r>
      <w:r w:rsidR="00043904" w:rsidRPr="00DF6DF1">
        <w:rPr>
          <w:rFonts w:ascii="Times New Roman" w:hAnsi="Times New Roman" w:cs="Times New Roman"/>
          <w:i/>
          <w:iCs/>
        </w:rPr>
        <w:t>, NCI National Cancer Institute Common Terminology for Adverse Events Neuropathy Sensory subscale, PCA principle component analysis, PN peripheral neuropathy, PROM patient reported outcome measure, SD standard deviation,</w:t>
      </w:r>
      <w:r w:rsidR="00043904" w:rsidRPr="00DF6DF1" w:rsidDel="00043904">
        <w:rPr>
          <w:rFonts w:ascii="Times New Roman" w:hAnsi="Times New Roman" w:cs="Times New Roman"/>
          <w:i/>
          <w:iCs/>
        </w:rPr>
        <w:t xml:space="preserve"> </w:t>
      </w:r>
      <w:r w:rsidR="00043904" w:rsidRPr="00DF6DF1">
        <w:rPr>
          <w:rFonts w:ascii="Times New Roman" w:hAnsi="Times New Roman" w:cs="Times New Roman"/>
          <w:i/>
          <w:iCs/>
        </w:rPr>
        <w:t>VAS visual analogue scale</w:t>
      </w:r>
      <w:bookmarkStart w:id="0" w:name="_GoBack"/>
      <w:bookmarkEnd w:id="0"/>
      <w:r w:rsidR="00043904" w:rsidRPr="00DF6DF1">
        <w:rPr>
          <w:rFonts w:ascii="Times New Roman" w:hAnsi="Times New Roman" w:cs="Times New Roman"/>
          <w:i/>
          <w:iCs/>
        </w:rPr>
        <w:t xml:space="preserve"> </w:t>
      </w:r>
    </w:p>
    <w:sectPr w:rsidR="00A7618D" w:rsidRPr="00DF6DF1" w:rsidSect="00DF6DF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58"/>
    <w:rsid w:val="00002E04"/>
    <w:rsid w:val="00003563"/>
    <w:rsid w:val="00021996"/>
    <w:rsid w:val="00024C9F"/>
    <w:rsid w:val="00027CCF"/>
    <w:rsid w:val="00041209"/>
    <w:rsid w:val="00041C5E"/>
    <w:rsid w:val="00043904"/>
    <w:rsid w:val="00067D11"/>
    <w:rsid w:val="0008493C"/>
    <w:rsid w:val="00090B92"/>
    <w:rsid w:val="000B3289"/>
    <w:rsid w:val="000D318B"/>
    <w:rsid w:val="000E2F22"/>
    <w:rsid w:val="000E3FA6"/>
    <w:rsid w:val="000F0FCD"/>
    <w:rsid w:val="00123E9D"/>
    <w:rsid w:val="00125E14"/>
    <w:rsid w:val="00126C60"/>
    <w:rsid w:val="00173619"/>
    <w:rsid w:val="0017408F"/>
    <w:rsid w:val="001813A8"/>
    <w:rsid w:val="001A680F"/>
    <w:rsid w:val="002039AF"/>
    <w:rsid w:val="002343F6"/>
    <w:rsid w:val="002464F9"/>
    <w:rsid w:val="00296FF4"/>
    <w:rsid w:val="00307B1B"/>
    <w:rsid w:val="0031392E"/>
    <w:rsid w:val="00314FB3"/>
    <w:rsid w:val="00360A4D"/>
    <w:rsid w:val="00395673"/>
    <w:rsid w:val="00397A1A"/>
    <w:rsid w:val="003A4055"/>
    <w:rsid w:val="003B4BDF"/>
    <w:rsid w:val="003D240C"/>
    <w:rsid w:val="003E332A"/>
    <w:rsid w:val="00405435"/>
    <w:rsid w:val="00414108"/>
    <w:rsid w:val="00441258"/>
    <w:rsid w:val="004539D2"/>
    <w:rsid w:val="004945F0"/>
    <w:rsid w:val="004B4C27"/>
    <w:rsid w:val="004B6E7C"/>
    <w:rsid w:val="004C04B9"/>
    <w:rsid w:val="004C05DB"/>
    <w:rsid w:val="004C31E6"/>
    <w:rsid w:val="004E2503"/>
    <w:rsid w:val="004E7464"/>
    <w:rsid w:val="0050191C"/>
    <w:rsid w:val="005B7130"/>
    <w:rsid w:val="005C2781"/>
    <w:rsid w:val="005D1582"/>
    <w:rsid w:val="005E3759"/>
    <w:rsid w:val="00605091"/>
    <w:rsid w:val="00660030"/>
    <w:rsid w:val="006613F5"/>
    <w:rsid w:val="00692051"/>
    <w:rsid w:val="006D2DB4"/>
    <w:rsid w:val="006E3960"/>
    <w:rsid w:val="006E6F9E"/>
    <w:rsid w:val="006F5729"/>
    <w:rsid w:val="006F7C7A"/>
    <w:rsid w:val="0073199E"/>
    <w:rsid w:val="00796BBC"/>
    <w:rsid w:val="007C50F2"/>
    <w:rsid w:val="007C571A"/>
    <w:rsid w:val="007D4391"/>
    <w:rsid w:val="007E47C8"/>
    <w:rsid w:val="007E79C3"/>
    <w:rsid w:val="00820C31"/>
    <w:rsid w:val="00832C32"/>
    <w:rsid w:val="00834757"/>
    <w:rsid w:val="0085440F"/>
    <w:rsid w:val="00866371"/>
    <w:rsid w:val="00866AC0"/>
    <w:rsid w:val="008868AF"/>
    <w:rsid w:val="00897E4B"/>
    <w:rsid w:val="0091768A"/>
    <w:rsid w:val="00955BA3"/>
    <w:rsid w:val="009709BA"/>
    <w:rsid w:val="009C4E30"/>
    <w:rsid w:val="009D276A"/>
    <w:rsid w:val="009E3901"/>
    <w:rsid w:val="009F0F09"/>
    <w:rsid w:val="00A7618D"/>
    <w:rsid w:val="00A8448C"/>
    <w:rsid w:val="00A95906"/>
    <w:rsid w:val="00AA7CC3"/>
    <w:rsid w:val="00AB06CD"/>
    <w:rsid w:val="00AB2C69"/>
    <w:rsid w:val="00AF0801"/>
    <w:rsid w:val="00AF0C47"/>
    <w:rsid w:val="00AF4E55"/>
    <w:rsid w:val="00B0272B"/>
    <w:rsid w:val="00B20D8C"/>
    <w:rsid w:val="00B32A2E"/>
    <w:rsid w:val="00B43479"/>
    <w:rsid w:val="00B56DE4"/>
    <w:rsid w:val="00B633D3"/>
    <w:rsid w:val="00B67FE2"/>
    <w:rsid w:val="00BF5719"/>
    <w:rsid w:val="00C11A86"/>
    <w:rsid w:val="00C505E4"/>
    <w:rsid w:val="00C513FE"/>
    <w:rsid w:val="00C5252B"/>
    <w:rsid w:val="00C723D1"/>
    <w:rsid w:val="00CB5F86"/>
    <w:rsid w:val="00CD6A79"/>
    <w:rsid w:val="00CD7C99"/>
    <w:rsid w:val="00D14FCA"/>
    <w:rsid w:val="00D8508A"/>
    <w:rsid w:val="00DC67E2"/>
    <w:rsid w:val="00DC711C"/>
    <w:rsid w:val="00DF1406"/>
    <w:rsid w:val="00DF6DF1"/>
    <w:rsid w:val="00E0143B"/>
    <w:rsid w:val="00E20E8E"/>
    <w:rsid w:val="00E26BF5"/>
    <w:rsid w:val="00E4154D"/>
    <w:rsid w:val="00E902C8"/>
    <w:rsid w:val="00E93C1C"/>
    <w:rsid w:val="00EA0923"/>
    <w:rsid w:val="00EA36B3"/>
    <w:rsid w:val="00EB74EE"/>
    <w:rsid w:val="00EC0844"/>
    <w:rsid w:val="00EC55DD"/>
    <w:rsid w:val="00ED0162"/>
    <w:rsid w:val="00ED610A"/>
    <w:rsid w:val="00F0628C"/>
    <w:rsid w:val="00F3453D"/>
    <w:rsid w:val="00F5719D"/>
    <w:rsid w:val="00F600ED"/>
    <w:rsid w:val="00F60843"/>
    <w:rsid w:val="00F77C70"/>
    <w:rsid w:val="00F907C0"/>
    <w:rsid w:val="00F92842"/>
    <w:rsid w:val="00FB395A"/>
    <w:rsid w:val="00FB7940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AA7E"/>
  <w15:chartTrackingRefBased/>
  <w15:docId w15:val="{AC87A526-97FC-4DB3-8EFC-20EAFB4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25E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59E7-0A5D-42AA-AFBB-10EC767F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Li</dc:creator>
  <cp:keywords/>
  <dc:description/>
  <cp:lastModifiedBy>Jayalekshmi V.J.</cp:lastModifiedBy>
  <cp:revision>7</cp:revision>
  <dcterms:created xsi:type="dcterms:W3CDTF">2022-04-07T00:35:00Z</dcterms:created>
  <dcterms:modified xsi:type="dcterms:W3CDTF">2022-05-16T06:45:00Z</dcterms:modified>
</cp:coreProperties>
</file>