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6Colorful"/>
        <w:tblpPr w:leftFromText="180" w:rightFromText="180" w:vertAnchor="page" w:horzAnchor="margin" w:tblpXSpec="center" w:tblpY="1560"/>
        <w:tblW w:w="5676" w:type="pct"/>
        <w:tblLayout w:type="fixed"/>
        <w:tblLook w:val="04A0"/>
      </w:tblPr>
      <w:tblGrid>
        <w:gridCol w:w="2527"/>
        <w:gridCol w:w="1450"/>
        <w:gridCol w:w="920"/>
        <w:gridCol w:w="1015"/>
        <w:gridCol w:w="2105"/>
        <w:gridCol w:w="1476"/>
        <w:gridCol w:w="1378"/>
      </w:tblGrid>
      <w:tr w:rsidR="00F11589" w:rsidRPr="00823FEE" w:rsidTr="00F11589">
        <w:trPr>
          <w:cnfStyle w:val="100000000000"/>
          <w:trHeight w:val="675"/>
        </w:trPr>
        <w:tc>
          <w:tcPr>
            <w:cnfStyle w:val="001000000000"/>
            <w:tcW w:w="5000" w:type="pct"/>
            <w:gridSpan w:val="7"/>
          </w:tcPr>
          <w:p w:rsidR="00F11589" w:rsidRDefault="00F11589" w:rsidP="00F11589">
            <w:pPr>
              <w:tabs>
                <w:tab w:val="left" w:pos="5400"/>
              </w:tabs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>eTable 4</w:t>
            </w:r>
            <w:r w:rsidRPr="00B037E9">
              <w:rPr>
                <w:rFonts w:cs="Times New Roman"/>
                <w:sz w:val="24"/>
                <w:szCs w:val="24"/>
              </w:rPr>
              <w:t xml:space="preserve">. </w:t>
            </w:r>
            <w:r w:rsidRPr="00B037E9">
              <w:rPr>
                <w:sz w:val="24"/>
                <w:szCs w:val="24"/>
              </w:rPr>
              <w:t xml:space="preserve">HRQoL </w:t>
            </w:r>
            <w:r>
              <w:rPr>
                <w:sz w:val="24"/>
                <w:szCs w:val="24"/>
              </w:rPr>
              <w:t>by Average Daily Dose in Morphine Milligram Equivalents among Propensity Score Matched Pairs of Opioid Users and Non-Opioid Users</w:t>
            </w:r>
          </w:p>
        </w:tc>
      </w:tr>
      <w:tr w:rsidR="004F0232" w:rsidRPr="00823FEE" w:rsidTr="00F11589">
        <w:trPr>
          <w:cnfStyle w:val="000000100000"/>
          <w:trHeight w:val="675"/>
        </w:trPr>
        <w:tc>
          <w:tcPr>
            <w:cnfStyle w:val="001000000000"/>
            <w:tcW w:w="1162" w:type="pct"/>
            <w:vMerge w:val="restar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 w:rsidRPr="00823FEE">
              <w:rPr>
                <w:rFonts w:ascii="Calibri" w:eastAsia="Calibri" w:hAnsi="Calibri" w:cs="Times New Roman"/>
              </w:rPr>
              <w:t>Comparison</w:t>
            </w:r>
          </w:p>
        </w:tc>
        <w:tc>
          <w:tcPr>
            <w:tcW w:w="667" w:type="pct"/>
            <w:vMerge w:val="restar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  <w:b/>
              </w:rPr>
            </w:pPr>
            <w:r w:rsidRPr="00823FEE">
              <w:rPr>
                <w:rFonts w:ascii="Calibri" w:eastAsia="Calibri" w:hAnsi="Calibri" w:cs="Times New Roman"/>
                <w:b/>
              </w:rPr>
              <w:t>LS Means (SE)</w:t>
            </w:r>
            <w:r w:rsidRPr="00823FEE">
              <w:rPr>
                <w:rFonts w:ascii="Calibri" w:eastAsia="Calibri" w:hAnsi="Calibri" w:cs="Times New Roman"/>
                <w:b/>
                <w:vertAlign w:val="superscript"/>
              </w:rPr>
              <w:t>a</w:t>
            </w:r>
          </w:p>
        </w:tc>
        <w:tc>
          <w:tcPr>
            <w:tcW w:w="890" w:type="pct"/>
            <w:gridSpan w:val="2"/>
            <w:vMerge w:val="restar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  <w:b/>
              </w:rPr>
            </w:pPr>
            <w:r w:rsidRPr="00823FEE">
              <w:rPr>
                <w:rFonts w:ascii="Calibri" w:eastAsia="Calibri" w:hAnsi="Calibri" w:cs="Times New Roman"/>
                <w:b/>
              </w:rPr>
              <w:t>95% Confidence Interval</w:t>
            </w:r>
          </w:p>
        </w:tc>
        <w:tc>
          <w:tcPr>
            <w:tcW w:w="1647" w:type="pct"/>
            <w:gridSpan w:val="2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  <w:b/>
              </w:rPr>
            </w:pPr>
            <w:r w:rsidRPr="00823FEE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</w:p>
        </w:tc>
        <w:tc>
          <w:tcPr>
            <w:tcW w:w="634" w:type="pct"/>
          </w:tcPr>
          <w:p w:rsidR="004F0232" w:rsidRPr="00111397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 P Value</w:t>
            </w:r>
            <w:r w:rsidR="002C009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d</w:t>
            </w:r>
          </w:p>
        </w:tc>
      </w:tr>
      <w:tr w:rsidR="004F0232" w:rsidRPr="00823FEE" w:rsidTr="00F11589">
        <w:trPr>
          <w:trHeight w:val="70"/>
        </w:trPr>
        <w:tc>
          <w:tcPr>
            <w:cnfStyle w:val="001000000000"/>
            <w:tcW w:w="1162" w:type="pct"/>
            <w:vMerge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</w:p>
        </w:tc>
        <w:tc>
          <w:tcPr>
            <w:tcW w:w="667" w:type="pct"/>
            <w:vMerge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0" w:type="pct"/>
            <w:gridSpan w:val="2"/>
            <w:vMerge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8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FEE">
              <w:rPr>
                <w:rFonts w:ascii="Calibri" w:eastAsia="Calibri" w:hAnsi="Calibri" w:cs="Times New Roman"/>
                <w:b/>
              </w:rPr>
              <w:t>Estimate, (CI)</w:t>
            </w:r>
          </w:p>
        </w:tc>
        <w:tc>
          <w:tcPr>
            <w:tcW w:w="679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FEE">
              <w:rPr>
                <w:rFonts w:ascii="Calibri" w:eastAsia="Times New Roman" w:hAnsi="Calibri" w:cs="Times New Roman"/>
                <w:b/>
                <w:bCs/>
                <w:color w:val="000000"/>
              </w:rPr>
              <w:t>SE, p-value</w:t>
            </w:r>
          </w:p>
        </w:tc>
        <w:tc>
          <w:tcPr>
            <w:tcW w:w="634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0232" w:rsidRPr="00823FEE" w:rsidTr="00F11589">
        <w:trPr>
          <w:cnfStyle w:val="000000100000"/>
          <w:trHeight w:val="308"/>
        </w:trPr>
        <w:tc>
          <w:tcPr>
            <w:cnfStyle w:val="001000000000"/>
            <w:tcW w:w="5000" w:type="pct"/>
            <w:gridSpan w:val="7"/>
          </w:tcPr>
          <w:p w:rsidR="004F0232" w:rsidRPr="00823FEE" w:rsidRDefault="004F0232" w:rsidP="004F0232">
            <w:pPr>
              <w:tabs>
                <w:tab w:val="left" w:pos="5400"/>
              </w:tabs>
              <w:rPr>
                <w:rFonts w:ascii="Calibri" w:eastAsia="Calibri" w:hAnsi="Calibri" w:cs="Times New Roman"/>
                <w:b w:val="0"/>
              </w:rPr>
            </w:pPr>
            <w:r w:rsidRPr="00823FEE">
              <w:rPr>
                <w:rFonts w:ascii="Calibri" w:eastAsia="Calibri" w:hAnsi="Calibri" w:cs="Times New Roman"/>
              </w:rPr>
              <w:t>MCS12</w:t>
            </w:r>
            <w:r>
              <w:rPr>
                <w:rFonts w:ascii="Calibri" w:eastAsia="Calibri" w:hAnsi="Calibri" w:cs="Times New Roman"/>
              </w:rPr>
              <w:t xml:space="preserve"> in Round 4</w:t>
            </w:r>
          </w:p>
        </w:tc>
      </w:tr>
      <w:tr w:rsidR="004F0232" w:rsidRPr="00823FEE" w:rsidTr="00F11589">
        <w:trPr>
          <w:trHeight w:val="308"/>
        </w:trPr>
        <w:tc>
          <w:tcPr>
            <w:cnfStyle w:val="001000000000"/>
            <w:tcW w:w="1162" w:type="pct"/>
          </w:tcPr>
          <w:p w:rsidR="004F0232" w:rsidRDefault="004F0232" w:rsidP="004F0232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4F0232" w:rsidRDefault="001D3A83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47.90 (0.63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Default="001D3A83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46.66</w:t>
            </w:r>
          </w:p>
        </w:tc>
        <w:tc>
          <w:tcPr>
            <w:tcW w:w="467" w:type="pct"/>
          </w:tcPr>
          <w:p w:rsidR="004F0232" w:rsidRDefault="001D3A83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49.14</w:t>
            </w:r>
          </w:p>
        </w:tc>
        <w:tc>
          <w:tcPr>
            <w:tcW w:w="968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4F0232" w:rsidRPr="00823FEE" w:rsidTr="00F11589">
        <w:trPr>
          <w:cnfStyle w:val="000000100000"/>
          <w:trHeight w:val="278"/>
        </w:trPr>
        <w:tc>
          <w:tcPr>
            <w:cnfStyle w:val="001000000000"/>
            <w:tcW w:w="1162" w:type="pct"/>
          </w:tcPr>
          <w:p w:rsidR="004F0232" w:rsidRPr="00823FEE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0-20 milligrams</w:t>
            </w:r>
            <w:r w:rsidR="004F0232"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4F0232" w:rsidRPr="00823FEE" w:rsidRDefault="001D3A83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46.37</w:t>
            </w:r>
            <w:r w:rsidR="004F0232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1.04</w:t>
            </w:r>
            <w:r w:rsidR="004F0232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Pr="00823FEE" w:rsidRDefault="001D3A83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44.33</w:t>
            </w:r>
          </w:p>
        </w:tc>
        <w:tc>
          <w:tcPr>
            <w:tcW w:w="467" w:type="pct"/>
          </w:tcPr>
          <w:p w:rsidR="004F0232" w:rsidRPr="00823FEE" w:rsidRDefault="001D3A83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48.42</w:t>
            </w:r>
          </w:p>
        </w:tc>
        <w:tc>
          <w:tcPr>
            <w:tcW w:w="968" w:type="pct"/>
          </w:tcPr>
          <w:p w:rsidR="004F0232" w:rsidRPr="00D12AC5" w:rsidRDefault="001D3A83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-1.53</w:t>
            </w:r>
            <w:r w:rsidR="004F0232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-3.92</w:t>
            </w:r>
            <w:r w:rsidR="004F0232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0.87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4F0232" w:rsidRPr="00823FEE" w:rsidRDefault="004F0232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E52CEE">
              <w:rPr>
                <w:rFonts w:ascii="Calibri" w:eastAsia="Calibri" w:hAnsi="Calibri" w:cs="Times New Roman"/>
              </w:rPr>
              <w:t>.2</w:t>
            </w:r>
            <w:r w:rsidR="001D3A83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, 0.</w:t>
            </w:r>
            <w:r w:rsidR="001D3A83">
              <w:rPr>
                <w:rFonts w:ascii="Calibri" w:eastAsia="Calibri" w:hAnsi="Calibri" w:cs="Times New Roman"/>
              </w:rPr>
              <w:t>2112</w:t>
            </w:r>
          </w:p>
        </w:tc>
        <w:tc>
          <w:tcPr>
            <w:tcW w:w="634" w:type="pct"/>
          </w:tcPr>
          <w:p w:rsidR="004F0232" w:rsidRPr="0004378C" w:rsidRDefault="004F0232" w:rsidP="004F023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Unadjusted</w:t>
            </w:r>
          </w:p>
        </w:tc>
      </w:tr>
      <w:tr w:rsidR="004F0232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4F0232" w:rsidRPr="00530BB0" w:rsidRDefault="004F0232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</w:t>
            </w:r>
            <w:r w:rsidR="002C0097">
              <w:rPr>
                <w:rFonts w:ascii="Calibri" w:eastAsia="Calibri" w:hAnsi="Calibri" w:cs="Times New Roman"/>
              </w:rPr>
              <w:t>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</w:t>
            </w:r>
            <w:r w:rsidR="002C0097"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4F0232" w:rsidRPr="00823FEE" w:rsidRDefault="000E28D1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49.8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2</w:t>
            </w:r>
            <w:r w:rsidR="004F0232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0.77</w:t>
            </w:r>
            <w:r w:rsidR="004F0232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4F0232" w:rsidRPr="00823FEE" w:rsidRDefault="000E28D1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48.31</w:t>
            </w:r>
          </w:p>
        </w:tc>
        <w:tc>
          <w:tcPr>
            <w:tcW w:w="467" w:type="pct"/>
          </w:tcPr>
          <w:p w:rsidR="004F0232" w:rsidRPr="00823FEE" w:rsidRDefault="001D3A83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51.34</w:t>
            </w:r>
          </w:p>
        </w:tc>
        <w:tc>
          <w:tcPr>
            <w:tcW w:w="968" w:type="pct"/>
          </w:tcPr>
          <w:p w:rsidR="004F0232" w:rsidRPr="00823FEE" w:rsidRDefault="000E28D1" w:rsidP="000E28D1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1.92</w:t>
            </w:r>
            <w:r w:rsidR="004F0232">
              <w:rPr>
                <w:rFonts w:ascii="Calibri" w:eastAsia="Calibri" w:hAnsi="Calibri" w:cs="Times New Roman"/>
              </w:rPr>
              <w:t xml:space="preserve"> (-</w:t>
            </w:r>
            <w:r w:rsidR="001D3A83">
              <w:rPr>
                <w:rFonts w:ascii="Calibri" w:eastAsia="Calibri" w:hAnsi="Calibri" w:cs="Times New Roman"/>
              </w:rPr>
              <w:t>0.05, 3.89</w:t>
            </w:r>
            <w:r w:rsidR="004F023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1D3A83">
              <w:rPr>
                <w:rFonts w:ascii="Calibri" w:eastAsia="Calibri" w:hAnsi="Calibri" w:cs="Times New Roman"/>
              </w:rPr>
              <w:t>.00</w:t>
            </w:r>
            <w:r w:rsidR="000E28D1">
              <w:rPr>
                <w:rFonts w:ascii="Calibri" w:eastAsia="Calibri" w:hAnsi="Calibri" w:cs="Times New Roman"/>
              </w:rPr>
              <w:t>, 0.05</w:t>
            </w:r>
            <w:r w:rsidR="001D3A83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634" w:type="pct"/>
          </w:tcPr>
          <w:p w:rsidR="004F0232" w:rsidRPr="00823FEE" w:rsidRDefault="004F0232" w:rsidP="004F023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Unadjusted</w:t>
            </w:r>
          </w:p>
        </w:tc>
      </w:tr>
      <w:tr w:rsidR="00EC4115" w:rsidRPr="00823FEE" w:rsidTr="00F11589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EC4115" w:rsidRPr="00EC4115" w:rsidRDefault="00EC4115" w:rsidP="00EC4115">
            <w:pPr>
              <w:rPr>
                <w:b w:val="0"/>
              </w:rPr>
            </w:pPr>
            <w:r w:rsidRPr="00EC4115">
              <w:t>PCS12 in Round 4</w:t>
            </w:r>
          </w:p>
        </w:tc>
      </w:tr>
      <w:tr w:rsidR="00EC4115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EC4115" w:rsidRPr="00A040C6" w:rsidRDefault="00EC4115" w:rsidP="00EC4115">
            <w:r w:rsidRPr="00A040C6">
              <w:t>No Opioid Use</w:t>
            </w:r>
          </w:p>
        </w:tc>
        <w:tc>
          <w:tcPr>
            <w:tcW w:w="667" w:type="pct"/>
          </w:tcPr>
          <w:p w:rsidR="00EC4115" w:rsidRPr="00A040C6" w:rsidRDefault="001D3A83" w:rsidP="00EC4115">
            <w:pPr>
              <w:jc w:val="center"/>
              <w:cnfStyle w:val="000000000000"/>
            </w:pPr>
            <w:r>
              <w:t>39.54 (0.65</w:t>
            </w:r>
            <w:r w:rsidR="00EC4115" w:rsidRPr="00A040C6">
              <w:t>)</w:t>
            </w:r>
          </w:p>
        </w:tc>
        <w:tc>
          <w:tcPr>
            <w:tcW w:w="423" w:type="pct"/>
          </w:tcPr>
          <w:p w:rsidR="00EC4115" w:rsidRPr="00A040C6" w:rsidRDefault="001D3A83" w:rsidP="00EC4115">
            <w:pPr>
              <w:jc w:val="center"/>
              <w:cnfStyle w:val="000000000000"/>
            </w:pPr>
            <w:r>
              <w:t>38.26</w:t>
            </w:r>
          </w:p>
        </w:tc>
        <w:tc>
          <w:tcPr>
            <w:tcW w:w="467" w:type="pct"/>
          </w:tcPr>
          <w:p w:rsidR="00EC4115" w:rsidRPr="00A040C6" w:rsidRDefault="001D3A83" w:rsidP="00EC4115">
            <w:pPr>
              <w:jc w:val="center"/>
              <w:cnfStyle w:val="000000000000"/>
            </w:pPr>
            <w:r>
              <w:t>40.83</w:t>
            </w:r>
          </w:p>
        </w:tc>
        <w:tc>
          <w:tcPr>
            <w:tcW w:w="968" w:type="pct"/>
          </w:tcPr>
          <w:p w:rsidR="00EC4115" w:rsidRPr="00A040C6" w:rsidRDefault="00EC4115" w:rsidP="00EC4115">
            <w:pPr>
              <w:jc w:val="center"/>
              <w:cnfStyle w:val="000000000000"/>
            </w:pPr>
            <w:r w:rsidRPr="00A040C6">
              <w:t>--</w:t>
            </w:r>
          </w:p>
        </w:tc>
        <w:tc>
          <w:tcPr>
            <w:tcW w:w="679" w:type="pct"/>
          </w:tcPr>
          <w:p w:rsidR="00EC4115" w:rsidRPr="00A040C6" w:rsidRDefault="00EC4115" w:rsidP="00EC4115">
            <w:pPr>
              <w:jc w:val="center"/>
              <w:cnfStyle w:val="000000000000"/>
            </w:pPr>
            <w:r w:rsidRPr="00A040C6">
              <w:t>--</w:t>
            </w:r>
          </w:p>
        </w:tc>
        <w:tc>
          <w:tcPr>
            <w:tcW w:w="634" w:type="pct"/>
          </w:tcPr>
          <w:p w:rsidR="00EC4115" w:rsidRPr="00A040C6" w:rsidRDefault="00EC4115" w:rsidP="00EC4115">
            <w:pPr>
              <w:jc w:val="center"/>
              <w:cnfStyle w:val="000000000000"/>
            </w:pPr>
          </w:p>
        </w:tc>
      </w:tr>
      <w:tr w:rsidR="00EC4115" w:rsidRPr="00823FEE" w:rsidTr="00F11589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EC4115" w:rsidRPr="00823FEE" w:rsidRDefault="00EC4115" w:rsidP="00EC4115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0-20 milligrams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EC4115" w:rsidRPr="00A040C6" w:rsidRDefault="001D3A83" w:rsidP="00EC4115">
            <w:pPr>
              <w:jc w:val="center"/>
              <w:cnfStyle w:val="000000100000"/>
            </w:pPr>
            <w:r>
              <w:t>36.71 (1.00</w:t>
            </w:r>
            <w:r w:rsidR="00EC4115" w:rsidRPr="00A040C6">
              <w:t>)</w:t>
            </w:r>
          </w:p>
        </w:tc>
        <w:tc>
          <w:tcPr>
            <w:tcW w:w="423" w:type="pct"/>
          </w:tcPr>
          <w:p w:rsidR="00EC4115" w:rsidRPr="00A040C6" w:rsidRDefault="001D3A83" w:rsidP="00EC4115">
            <w:pPr>
              <w:jc w:val="center"/>
              <w:cnfStyle w:val="000000100000"/>
            </w:pPr>
            <w:r>
              <w:t>34.75</w:t>
            </w:r>
          </w:p>
        </w:tc>
        <w:tc>
          <w:tcPr>
            <w:tcW w:w="467" w:type="pct"/>
          </w:tcPr>
          <w:p w:rsidR="00EC4115" w:rsidRPr="00A040C6" w:rsidRDefault="001D3A83" w:rsidP="00EC4115">
            <w:pPr>
              <w:jc w:val="center"/>
              <w:cnfStyle w:val="000000100000"/>
            </w:pPr>
            <w:r>
              <w:t>38.66</w:t>
            </w:r>
          </w:p>
        </w:tc>
        <w:tc>
          <w:tcPr>
            <w:tcW w:w="968" w:type="pct"/>
          </w:tcPr>
          <w:p w:rsidR="00EC4115" w:rsidRPr="00A040C6" w:rsidRDefault="001D3A83" w:rsidP="00EC4115">
            <w:pPr>
              <w:jc w:val="center"/>
              <w:cnfStyle w:val="000000100000"/>
            </w:pPr>
            <w:r>
              <w:t>-2.84 (-5.19, -0.49</w:t>
            </w:r>
            <w:r w:rsidR="00EC4115" w:rsidRPr="00A040C6">
              <w:t>)</w:t>
            </w:r>
          </w:p>
        </w:tc>
        <w:tc>
          <w:tcPr>
            <w:tcW w:w="679" w:type="pct"/>
          </w:tcPr>
          <w:p w:rsidR="00EC4115" w:rsidRPr="00A040C6" w:rsidRDefault="001D3A83" w:rsidP="00EC4115">
            <w:pPr>
              <w:jc w:val="center"/>
              <w:cnfStyle w:val="000000100000"/>
            </w:pPr>
            <w:r>
              <w:t>1.20, 0.0178</w:t>
            </w:r>
          </w:p>
        </w:tc>
        <w:tc>
          <w:tcPr>
            <w:tcW w:w="634" w:type="pct"/>
          </w:tcPr>
          <w:p w:rsidR="00EC4115" w:rsidRPr="00A040C6" w:rsidRDefault="00EC4115" w:rsidP="00EC4115">
            <w:pPr>
              <w:jc w:val="center"/>
              <w:cnfStyle w:val="000000100000"/>
            </w:pPr>
            <w:r w:rsidRPr="00A040C6">
              <w:t>Unadjusted</w:t>
            </w:r>
          </w:p>
        </w:tc>
      </w:tr>
      <w:tr w:rsidR="00EC4115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EC4115" w:rsidRPr="00530BB0" w:rsidRDefault="00EC4115" w:rsidP="00EC4115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b,c</w:t>
            </w:r>
          </w:p>
        </w:tc>
        <w:tc>
          <w:tcPr>
            <w:tcW w:w="667" w:type="pct"/>
          </w:tcPr>
          <w:p w:rsidR="00EC4115" w:rsidRPr="00A040C6" w:rsidRDefault="001D3A83" w:rsidP="00EC4115">
            <w:pPr>
              <w:jc w:val="center"/>
              <w:cnfStyle w:val="000000000000"/>
            </w:pPr>
            <w:r>
              <w:t>37.67 (0.83</w:t>
            </w:r>
            <w:r w:rsidR="00EC4115" w:rsidRPr="00A040C6">
              <w:t>)</w:t>
            </w:r>
          </w:p>
        </w:tc>
        <w:tc>
          <w:tcPr>
            <w:tcW w:w="423" w:type="pct"/>
          </w:tcPr>
          <w:p w:rsidR="00EC4115" w:rsidRPr="00A040C6" w:rsidRDefault="001D3A83" w:rsidP="00EC4115">
            <w:pPr>
              <w:jc w:val="center"/>
              <w:cnfStyle w:val="000000000000"/>
            </w:pPr>
            <w:r>
              <w:t>36.03</w:t>
            </w:r>
          </w:p>
        </w:tc>
        <w:tc>
          <w:tcPr>
            <w:tcW w:w="467" w:type="pct"/>
          </w:tcPr>
          <w:p w:rsidR="00EC4115" w:rsidRPr="00A040C6" w:rsidRDefault="001D3A83" w:rsidP="00EC4115">
            <w:pPr>
              <w:jc w:val="center"/>
              <w:cnfStyle w:val="000000000000"/>
            </w:pPr>
            <w:r>
              <w:t>39.30</w:t>
            </w:r>
          </w:p>
        </w:tc>
        <w:tc>
          <w:tcPr>
            <w:tcW w:w="968" w:type="pct"/>
          </w:tcPr>
          <w:p w:rsidR="00EC4115" w:rsidRPr="00A040C6" w:rsidRDefault="001D3A83" w:rsidP="00EC4115">
            <w:pPr>
              <w:jc w:val="center"/>
              <w:cnfStyle w:val="000000000000"/>
            </w:pPr>
            <w:r>
              <w:t>-1.88 (-3.95, 0.20</w:t>
            </w:r>
            <w:r w:rsidR="00EC4115" w:rsidRPr="00A040C6">
              <w:t>)</w:t>
            </w:r>
          </w:p>
        </w:tc>
        <w:tc>
          <w:tcPr>
            <w:tcW w:w="679" w:type="pct"/>
          </w:tcPr>
          <w:p w:rsidR="00EC4115" w:rsidRPr="00A040C6" w:rsidRDefault="001D3A83" w:rsidP="00EC4115">
            <w:pPr>
              <w:jc w:val="center"/>
              <w:cnfStyle w:val="000000000000"/>
            </w:pPr>
            <w:r>
              <w:t>1.06, 0.0761</w:t>
            </w:r>
          </w:p>
        </w:tc>
        <w:tc>
          <w:tcPr>
            <w:tcW w:w="634" w:type="pct"/>
          </w:tcPr>
          <w:p w:rsidR="00EC4115" w:rsidRDefault="00EC4115" w:rsidP="00EC4115">
            <w:pPr>
              <w:jc w:val="center"/>
              <w:cnfStyle w:val="000000000000"/>
            </w:pPr>
            <w:r w:rsidRPr="00A040C6">
              <w:t>Unadjusted</w:t>
            </w:r>
          </w:p>
        </w:tc>
      </w:tr>
      <w:tr w:rsidR="004F0232" w:rsidRPr="00823FEE" w:rsidTr="00F11589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Vitality (VT) Subdomain in Round 4</w:t>
            </w:r>
          </w:p>
        </w:tc>
      </w:tr>
      <w:tr w:rsidR="002C0097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2C0097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2C0097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46.79 (0.56)</w:t>
            </w:r>
          </w:p>
        </w:tc>
        <w:tc>
          <w:tcPr>
            <w:tcW w:w="423" w:type="pct"/>
          </w:tcPr>
          <w:p w:rsidR="002C0097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45.70</w:t>
            </w:r>
          </w:p>
        </w:tc>
        <w:tc>
          <w:tcPr>
            <w:tcW w:w="467" w:type="pct"/>
          </w:tcPr>
          <w:p w:rsidR="002C0097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47.88</w:t>
            </w:r>
          </w:p>
        </w:tc>
        <w:tc>
          <w:tcPr>
            <w:tcW w:w="968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2C0097" w:rsidRPr="00823FEE" w:rsidTr="00F11589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0-20 milligrams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46.01</w:t>
            </w:r>
            <w:r w:rsidR="002C0097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0.85</w:t>
            </w:r>
            <w:r w:rsidR="002C0097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44.35</w:t>
            </w:r>
          </w:p>
        </w:tc>
        <w:tc>
          <w:tcPr>
            <w:tcW w:w="467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47.68</w:t>
            </w:r>
          </w:p>
        </w:tc>
        <w:tc>
          <w:tcPr>
            <w:tcW w:w="968" w:type="pct"/>
          </w:tcPr>
          <w:p w:rsidR="002C0097" w:rsidRPr="00D12AC5" w:rsidRDefault="005C2BF2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-0.77 (-2.77, 1.22</w:t>
            </w:r>
            <w:r w:rsidR="002C009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1.02</w:t>
            </w:r>
            <w:r w:rsidR="00263862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0.4465</w:t>
            </w:r>
          </w:p>
        </w:tc>
        <w:tc>
          <w:tcPr>
            <w:tcW w:w="634" w:type="pct"/>
          </w:tcPr>
          <w:p w:rsidR="002C0097" w:rsidRPr="0004378C" w:rsidRDefault="00260D48" w:rsidP="005C2BF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2C0097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2C0097" w:rsidRPr="00530BB0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b,c</w:t>
            </w:r>
          </w:p>
        </w:tc>
        <w:tc>
          <w:tcPr>
            <w:tcW w:w="667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47.86</w:t>
            </w:r>
            <w:r w:rsidR="002C0097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0.70</w:t>
            </w:r>
            <w:r w:rsidR="002C0097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46.48</w:t>
            </w:r>
          </w:p>
        </w:tc>
        <w:tc>
          <w:tcPr>
            <w:tcW w:w="467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49.24</w:t>
            </w:r>
          </w:p>
        </w:tc>
        <w:tc>
          <w:tcPr>
            <w:tcW w:w="968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1.07 (-0.68, 2.83</w:t>
            </w:r>
            <w:r w:rsidR="002C009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0.89, 0.230</w:t>
            </w:r>
            <w:r w:rsidR="0026386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34" w:type="pct"/>
          </w:tcPr>
          <w:p w:rsidR="002C0097" w:rsidRPr="00823FEE" w:rsidRDefault="00260D48" w:rsidP="005C2BF2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4F0232" w:rsidRPr="00823FEE" w:rsidTr="00F11589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Social Functioning (SF) Subdomain in Round 4</w:t>
            </w:r>
          </w:p>
        </w:tc>
      </w:tr>
      <w:tr w:rsidR="002C0097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2C0097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2C0097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44.60 (0.69</w:t>
            </w:r>
            <w:r w:rsidR="002C009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2C0097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43.24</w:t>
            </w:r>
          </w:p>
        </w:tc>
        <w:tc>
          <w:tcPr>
            <w:tcW w:w="467" w:type="pct"/>
          </w:tcPr>
          <w:p w:rsidR="002C0097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45.97</w:t>
            </w:r>
          </w:p>
        </w:tc>
        <w:tc>
          <w:tcPr>
            <w:tcW w:w="968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2C0097" w:rsidRPr="00823FEE" w:rsidTr="00F11589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0-20 milligrams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41.65</w:t>
            </w:r>
            <w:r w:rsidR="002C0097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1.15</w:t>
            </w:r>
            <w:r w:rsidR="002C0097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39.39</w:t>
            </w:r>
          </w:p>
        </w:tc>
        <w:tc>
          <w:tcPr>
            <w:tcW w:w="467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43.90</w:t>
            </w:r>
          </w:p>
        </w:tc>
        <w:tc>
          <w:tcPr>
            <w:tcW w:w="968" w:type="pct"/>
          </w:tcPr>
          <w:p w:rsidR="002C0097" w:rsidRPr="00D12AC5" w:rsidRDefault="005C2BF2" w:rsidP="00263862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-2.96 (-5.60, -0.32</w:t>
            </w:r>
            <w:r w:rsidR="002C009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C2BF2">
              <w:rPr>
                <w:rFonts w:ascii="Calibri" w:eastAsia="Calibri" w:hAnsi="Calibri" w:cs="Times New Roman"/>
              </w:rPr>
              <w:t>.35, 0.0283</w:t>
            </w:r>
          </w:p>
        </w:tc>
        <w:tc>
          <w:tcPr>
            <w:tcW w:w="634" w:type="pct"/>
          </w:tcPr>
          <w:p w:rsidR="002C0097" w:rsidRPr="0004378C" w:rsidRDefault="00747CCB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0.0849</w:t>
            </w:r>
          </w:p>
        </w:tc>
      </w:tr>
      <w:tr w:rsidR="002C0097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2C0097" w:rsidRPr="00530BB0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b,c</w:t>
            </w:r>
          </w:p>
        </w:tc>
        <w:tc>
          <w:tcPr>
            <w:tcW w:w="667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44.22</w:t>
            </w:r>
            <w:r w:rsidR="002C0097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0.88</w:t>
            </w:r>
            <w:r w:rsidR="002C0097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42.49</w:t>
            </w:r>
          </w:p>
        </w:tc>
        <w:tc>
          <w:tcPr>
            <w:tcW w:w="467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45.96</w:t>
            </w:r>
          </w:p>
        </w:tc>
        <w:tc>
          <w:tcPr>
            <w:tcW w:w="968" w:type="pct"/>
          </w:tcPr>
          <w:p w:rsidR="002C0097" w:rsidRPr="00823FEE" w:rsidRDefault="005C2BF2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-0.38 (-2.5</w:t>
            </w:r>
            <w:r w:rsidR="00263862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, 1.83</w:t>
            </w:r>
            <w:r w:rsidR="002C009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2C0097" w:rsidRPr="00823FEE" w:rsidRDefault="005C2BF2" w:rsidP="00260D48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1.13, 0.7354</w:t>
            </w:r>
          </w:p>
        </w:tc>
        <w:tc>
          <w:tcPr>
            <w:tcW w:w="634" w:type="pct"/>
          </w:tcPr>
          <w:p w:rsidR="002C0097" w:rsidRPr="00823FEE" w:rsidRDefault="00260D48" w:rsidP="00260D48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4F0232" w:rsidRPr="00823FEE" w:rsidTr="00F11589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Role Emotional (RE) Subdomain in Round 4</w:t>
            </w:r>
          </w:p>
        </w:tc>
      </w:tr>
      <w:tr w:rsidR="002C0097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2C0097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2C0097" w:rsidRDefault="009068FD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43.31 (0.72</w:t>
            </w:r>
            <w:r w:rsidR="002C009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2C0097" w:rsidRDefault="009068FD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41.91</w:t>
            </w:r>
          </w:p>
        </w:tc>
        <w:tc>
          <w:tcPr>
            <w:tcW w:w="467" w:type="pct"/>
          </w:tcPr>
          <w:p w:rsidR="002C0097" w:rsidRDefault="009068FD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44.71</w:t>
            </w:r>
          </w:p>
        </w:tc>
        <w:tc>
          <w:tcPr>
            <w:tcW w:w="968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2C0097" w:rsidRPr="00823FEE" w:rsidTr="00F11589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2C0097" w:rsidRPr="00823FEE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0-20 milligrams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2C0097" w:rsidRPr="00823FEE" w:rsidRDefault="009068FD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41.97</w:t>
            </w:r>
            <w:r w:rsidR="002C0097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1.15</w:t>
            </w:r>
            <w:r w:rsidR="002C0097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2C0097" w:rsidRPr="00823FEE" w:rsidRDefault="009068FD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39.7</w:t>
            </w:r>
            <w:r w:rsidR="0027587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7" w:type="pct"/>
          </w:tcPr>
          <w:p w:rsidR="002C0097" w:rsidRPr="00823FEE" w:rsidRDefault="00275871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44.22</w:t>
            </w:r>
          </w:p>
        </w:tc>
        <w:tc>
          <w:tcPr>
            <w:tcW w:w="968" w:type="pct"/>
          </w:tcPr>
          <w:p w:rsidR="002C0097" w:rsidRPr="00D12AC5" w:rsidRDefault="009068FD" w:rsidP="009068FD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-1.34</w:t>
            </w:r>
            <w:r w:rsidR="00275871">
              <w:rPr>
                <w:rFonts w:ascii="Calibri" w:eastAsia="Calibri" w:hAnsi="Calibri" w:cs="Times New Roman"/>
              </w:rPr>
              <w:t xml:space="preserve"> (-</w:t>
            </w:r>
            <w:r>
              <w:rPr>
                <w:rFonts w:ascii="Calibri" w:eastAsia="Calibri" w:hAnsi="Calibri" w:cs="Times New Roman"/>
              </w:rPr>
              <w:t>3.99, 1.31</w:t>
            </w:r>
            <w:r w:rsidR="002C009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2C0097" w:rsidRPr="00823FEE" w:rsidRDefault="00275871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9068FD">
              <w:rPr>
                <w:rFonts w:ascii="Calibri" w:eastAsia="Calibri" w:hAnsi="Calibri" w:cs="Times New Roman"/>
              </w:rPr>
              <w:t>.35, 0.3207</w:t>
            </w:r>
          </w:p>
        </w:tc>
        <w:tc>
          <w:tcPr>
            <w:tcW w:w="634" w:type="pct"/>
          </w:tcPr>
          <w:p w:rsidR="002C0097" w:rsidRPr="0004378C" w:rsidRDefault="00260D48" w:rsidP="002C009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2C0097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2C0097" w:rsidRPr="00530BB0" w:rsidRDefault="002C0097" w:rsidP="002C0097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b,c</w:t>
            </w:r>
          </w:p>
        </w:tc>
        <w:tc>
          <w:tcPr>
            <w:tcW w:w="667" w:type="pct"/>
          </w:tcPr>
          <w:p w:rsidR="002C0097" w:rsidRPr="00823FEE" w:rsidRDefault="009068FD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44.88</w:t>
            </w:r>
            <w:r w:rsidR="002C0097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0.86</w:t>
            </w:r>
            <w:r w:rsidR="002C0097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2C0097" w:rsidRPr="00823FEE" w:rsidRDefault="009068FD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43.19</w:t>
            </w:r>
          </w:p>
        </w:tc>
        <w:tc>
          <w:tcPr>
            <w:tcW w:w="467" w:type="pct"/>
          </w:tcPr>
          <w:p w:rsidR="002C0097" w:rsidRPr="00823FEE" w:rsidRDefault="009068FD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46.56</w:t>
            </w:r>
          </w:p>
        </w:tc>
        <w:tc>
          <w:tcPr>
            <w:tcW w:w="968" w:type="pct"/>
          </w:tcPr>
          <w:p w:rsidR="002C0097" w:rsidRPr="00823FEE" w:rsidRDefault="009068FD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1.57 (-0.63, 3.77</w:t>
            </w:r>
            <w:r w:rsidR="002C009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2C0097" w:rsidRPr="00823FEE" w:rsidRDefault="009068FD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1.12, 0.1627</w:t>
            </w:r>
          </w:p>
        </w:tc>
        <w:tc>
          <w:tcPr>
            <w:tcW w:w="634" w:type="pct"/>
          </w:tcPr>
          <w:p w:rsidR="002C0097" w:rsidRPr="00823FEE" w:rsidRDefault="00260D48" w:rsidP="002C0097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4F0232" w:rsidRPr="00823FEE" w:rsidTr="00F11589">
        <w:trPr>
          <w:cnfStyle w:val="000000100000"/>
          <w:trHeight w:val="307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Overall Mental Health (MH) Subdomain in Round 4</w:t>
            </w:r>
          </w:p>
        </w:tc>
      </w:tr>
      <w:tr w:rsidR="00E52CEE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E52CEE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E52CEE" w:rsidRDefault="009068FD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47.44 (0.60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Default="009068FD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46.27</w:t>
            </w:r>
          </w:p>
        </w:tc>
        <w:tc>
          <w:tcPr>
            <w:tcW w:w="467" w:type="pct"/>
          </w:tcPr>
          <w:p w:rsidR="00E52CEE" w:rsidRDefault="009068FD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48.62</w:t>
            </w:r>
          </w:p>
        </w:tc>
        <w:tc>
          <w:tcPr>
            <w:tcW w:w="968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E52CEE" w:rsidRPr="00823FEE" w:rsidTr="00F11589">
        <w:trPr>
          <w:cnfStyle w:val="000000100000"/>
          <w:trHeight w:val="307"/>
        </w:trPr>
        <w:tc>
          <w:tcPr>
            <w:cnfStyle w:val="001000000000"/>
            <w:tcW w:w="1162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0-20 milligrams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E52CEE" w:rsidRPr="00823FEE" w:rsidRDefault="00275871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45.06</w:t>
            </w:r>
            <w:r w:rsidR="00E52CEE" w:rsidRPr="00823FEE">
              <w:rPr>
                <w:rFonts w:ascii="Calibri" w:eastAsia="Calibri" w:hAnsi="Calibri" w:cs="Times New Roman"/>
              </w:rPr>
              <w:t xml:space="preserve"> (</w:t>
            </w:r>
            <w:r w:rsidR="009068FD">
              <w:rPr>
                <w:rFonts w:ascii="Calibri" w:eastAsia="Calibri" w:hAnsi="Calibri" w:cs="Times New Roman"/>
              </w:rPr>
              <w:t>1.00</w:t>
            </w:r>
            <w:r w:rsidR="00E52CEE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Pr="00823FEE" w:rsidRDefault="009068FD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43.09</w:t>
            </w:r>
          </w:p>
        </w:tc>
        <w:tc>
          <w:tcPr>
            <w:tcW w:w="467" w:type="pct"/>
          </w:tcPr>
          <w:p w:rsidR="00E52CEE" w:rsidRPr="00823FEE" w:rsidRDefault="009068FD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47.0</w:t>
            </w:r>
            <w:r w:rsidR="0027587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8" w:type="pct"/>
          </w:tcPr>
          <w:p w:rsidR="00E52CEE" w:rsidRPr="00D12AC5" w:rsidRDefault="009068FD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-2.39</w:t>
            </w:r>
            <w:r w:rsidR="0027587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(-4.68, -0.09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E52CEE" w:rsidRPr="00823FEE" w:rsidRDefault="009068FD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1.17, 0.0417</w:t>
            </w:r>
          </w:p>
        </w:tc>
        <w:tc>
          <w:tcPr>
            <w:tcW w:w="634" w:type="pct"/>
          </w:tcPr>
          <w:p w:rsidR="00E52CEE" w:rsidRPr="0004378C" w:rsidRDefault="00747CCB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0.2085</w:t>
            </w:r>
          </w:p>
        </w:tc>
      </w:tr>
      <w:tr w:rsidR="00E52CEE" w:rsidRPr="00823FEE" w:rsidTr="00F11589">
        <w:trPr>
          <w:trHeight w:val="307"/>
        </w:trPr>
        <w:tc>
          <w:tcPr>
            <w:cnfStyle w:val="001000000000"/>
            <w:tcW w:w="1162" w:type="pct"/>
          </w:tcPr>
          <w:p w:rsidR="00E52CEE" w:rsidRPr="00530BB0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b,c</w:t>
            </w:r>
          </w:p>
        </w:tc>
        <w:tc>
          <w:tcPr>
            <w:tcW w:w="667" w:type="pct"/>
          </w:tcPr>
          <w:p w:rsidR="00E52CEE" w:rsidRPr="00823FEE" w:rsidRDefault="00275871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48.56</w:t>
            </w:r>
            <w:r w:rsidR="00E52CEE" w:rsidRPr="00823FEE">
              <w:rPr>
                <w:rFonts w:ascii="Calibri" w:eastAsia="Calibri" w:hAnsi="Calibri" w:cs="Times New Roman"/>
              </w:rPr>
              <w:t xml:space="preserve"> (</w:t>
            </w:r>
            <w:r w:rsidR="009068FD">
              <w:rPr>
                <w:rFonts w:ascii="Calibri" w:eastAsia="Calibri" w:hAnsi="Calibri" w:cs="Times New Roman"/>
              </w:rPr>
              <w:t>0.77</w:t>
            </w:r>
            <w:r w:rsidR="00E52CEE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Pr="00823FEE" w:rsidRDefault="009068FD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47.05</w:t>
            </w:r>
          </w:p>
        </w:tc>
        <w:tc>
          <w:tcPr>
            <w:tcW w:w="467" w:type="pct"/>
          </w:tcPr>
          <w:p w:rsidR="00E52CEE" w:rsidRPr="00823FEE" w:rsidRDefault="009068FD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50.08</w:t>
            </w:r>
          </w:p>
        </w:tc>
        <w:tc>
          <w:tcPr>
            <w:tcW w:w="968" w:type="pct"/>
          </w:tcPr>
          <w:p w:rsidR="00E52CEE" w:rsidRPr="00823FEE" w:rsidRDefault="00B56AF1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1.12</w:t>
            </w:r>
            <w:r w:rsidR="00E52CEE">
              <w:rPr>
                <w:rFonts w:ascii="Calibri" w:eastAsia="Calibri" w:hAnsi="Calibri" w:cs="Times New Roman"/>
              </w:rPr>
              <w:t xml:space="preserve"> (-</w:t>
            </w:r>
            <w:r>
              <w:rPr>
                <w:rFonts w:ascii="Calibri" w:eastAsia="Calibri" w:hAnsi="Calibri" w:cs="Times New Roman"/>
              </w:rPr>
              <w:t>0.81</w:t>
            </w:r>
            <w:r w:rsidR="00E52CEE">
              <w:rPr>
                <w:rFonts w:ascii="Calibri" w:eastAsia="Calibri" w:hAnsi="Calibri" w:cs="Times New Roman"/>
              </w:rPr>
              <w:t xml:space="preserve">, </w:t>
            </w:r>
            <w:r w:rsidR="00275871">
              <w:rPr>
                <w:rFonts w:ascii="Calibri" w:eastAsia="Calibri" w:hAnsi="Calibri" w:cs="Times New Roman"/>
              </w:rPr>
              <w:t>3.04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E52CEE" w:rsidRPr="00823FEE" w:rsidRDefault="00275871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0.98</w:t>
            </w:r>
            <w:r w:rsidR="00E52CEE">
              <w:rPr>
                <w:rFonts w:ascii="Calibri" w:eastAsia="Calibri" w:hAnsi="Calibri" w:cs="Times New Roman"/>
              </w:rPr>
              <w:t>, 0.</w:t>
            </w:r>
            <w:r w:rsidR="00B56AF1">
              <w:rPr>
                <w:rFonts w:ascii="Calibri" w:eastAsia="Calibri" w:hAnsi="Calibri" w:cs="Times New Roman"/>
              </w:rPr>
              <w:t>2542</w:t>
            </w:r>
          </w:p>
        </w:tc>
        <w:tc>
          <w:tcPr>
            <w:tcW w:w="634" w:type="pct"/>
          </w:tcPr>
          <w:p w:rsidR="00E52CEE" w:rsidRPr="00823FEE" w:rsidRDefault="00260D48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4F0232" w:rsidRPr="00823FEE" w:rsidTr="00F11589">
        <w:trPr>
          <w:cnfStyle w:val="000000100000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Bodily Pain (BP) Subdomain in Round 4</w:t>
            </w:r>
          </w:p>
        </w:tc>
      </w:tr>
      <w:tr w:rsidR="00E52CEE" w:rsidRPr="00823FEE" w:rsidTr="00F11589">
        <w:trPr>
          <w:trHeight w:val="54"/>
        </w:trPr>
        <w:tc>
          <w:tcPr>
            <w:cnfStyle w:val="001000000000"/>
            <w:tcW w:w="1162" w:type="pct"/>
          </w:tcPr>
          <w:p w:rsidR="00E52CEE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E52CEE" w:rsidRDefault="00B56AF1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39.24 (0.66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Default="00B56AF1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37.93</w:t>
            </w:r>
          </w:p>
        </w:tc>
        <w:tc>
          <w:tcPr>
            <w:tcW w:w="467" w:type="pct"/>
          </w:tcPr>
          <w:p w:rsidR="00E52CEE" w:rsidRDefault="00B56AF1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40.54</w:t>
            </w:r>
          </w:p>
        </w:tc>
        <w:tc>
          <w:tcPr>
            <w:tcW w:w="968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E52CEE" w:rsidRPr="00823FEE" w:rsidTr="00F11589">
        <w:trPr>
          <w:cnfStyle w:val="000000100000"/>
        </w:trPr>
        <w:tc>
          <w:tcPr>
            <w:cnfStyle w:val="001000000000"/>
            <w:tcW w:w="1162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0-20 milligrams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E52CEE" w:rsidRPr="00823FEE" w:rsidRDefault="00B56AF1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35.69</w:t>
            </w:r>
            <w:r w:rsidR="00E52CEE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1.08</w:t>
            </w:r>
            <w:r w:rsidR="00E52CEE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Pr="00823FEE" w:rsidRDefault="00B56AF1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33.56</w:t>
            </w:r>
          </w:p>
        </w:tc>
        <w:tc>
          <w:tcPr>
            <w:tcW w:w="467" w:type="pct"/>
          </w:tcPr>
          <w:p w:rsidR="00E52CEE" w:rsidRPr="00823FEE" w:rsidRDefault="00711924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37.82</w:t>
            </w:r>
          </w:p>
        </w:tc>
        <w:tc>
          <w:tcPr>
            <w:tcW w:w="968" w:type="pct"/>
          </w:tcPr>
          <w:p w:rsidR="00E52CEE" w:rsidRPr="00D12AC5" w:rsidRDefault="00711924" w:rsidP="00711924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-3.55 (-6.05</w:t>
            </w:r>
            <w:r w:rsidR="00FD6AC2">
              <w:rPr>
                <w:rFonts w:ascii="Calibri" w:eastAsia="Calibri" w:hAnsi="Calibri" w:cs="Times New Roman"/>
              </w:rPr>
              <w:t>, -</w:t>
            </w:r>
            <w:r>
              <w:rPr>
                <w:rFonts w:ascii="Calibri" w:eastAsia="Calibri" w:hAnsi="Calibri" w:cs="Times New Roman"/>
              </w:rPr>
              <w:t>1.05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E52CEE" w:rsidRPr="00823FEE" w:rsidRDefault="00FD6AC2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711924">
              <w:rPr>
                <w:rFonts w:ascii="Calibri" w:eastAsia="Calibri" w:hAnsi="Calibri" w:cs="Times New Roman"/>
              </w:rPr>
              <w:t>.27, 0.0055</w:t>
            </w:r>
          </w:p>
        </w:tc>
        <w:tc>
          <w:tcPr>
            <w:tcW w:w="634" w:type="pct"/>
          </w:tcPr>
          <w:p w:rsidR="00E52CEE" w:rsidRPr="0004378C" w:rsidRDefault="00747CCB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0.0055</w:t>
            </w:r>
          </w:p>
        </w:tc>
      </w:tr>
      <w:tr w:rsidR="00E52CEE" w:rsidRPr="00823FEE" w:rsidTr="00F11589">
        <w:tc>
          <w:tcPr>
            <w:cnfStyle w:val="001000000000"/>
            <w:tcW w:w="1162" w:type="pct"/>
          </w:tcPr>
          <w:p w:rsidR="00E52CEE" w:rsidRPr="00530BB0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b,c</w:t>
            </w:r>
          </w:p>
        </w:tc>
        <w:tc>
          <w:tcPr>
            <w:tcW w:w="667" w:type="pct"/>
          </w:tcPr>
          <w:p w:rsidR="00E52CEE" w:rsidRPr="00823FEE" w:rsidRDefault="00711924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37.05</w:t>
            </w:r>
            <w:r w:rsidR="00E52CEE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0.90</w:t>
            </w:r>
            <w:r w:rsidR="00E52CEE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Pr="00823FEE" w:rsidRDefault="00711924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35.28</w:t>
            </w:r>
          </w:p>
        </w:tc>
        <w:tc>
          <w:tcPr>
            <w:tcW w:w="467" w:type="pct"/>
          </w:tcPr>
          <w:p w:rsidR="00E52CEE" w:rsidRPr="00823FEE" w:rsidRDefault="00711924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38.82</w:t>
            </w:r>
          </w:p>
        </w:tc>
        <w:tc>
          <w:tcPr>
            <w:tcW w:w="968" w:type="pct"/>
          </w:tcPr>
          <w:p w:rsidR="00E52CEE" w:rsidRPr="00823FEE" w:rsidRDefault="00E52CEE" w:rsidP="00684833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684833">
              <w:rPr>
                <w:rFonts w:ascii="Calibri" w:eastAsia="Calibri" w:hAnsi="Calibri" w:cs="Times New Roman"/>
              </w:rPr>
              <w:t>2.1</w:t>
            </w:r>
            <w:r>
              <w:rPr>
                <w:rFonts w:ascii="Calibri" w:eastAsia="Calibri" w:hAnsi="Calibri" w:cs="Times New Roman"/>
              </w:rPr>
              <w:t>9 (-</w:t>
            </w:r>
            <w:r w:rsidR="00711924">
              <w:rPr>
                <w:rFonts w:ascii="Calibri" w:eastAsia="Calibri" w:hAnsi="Calibri" w:cs="Times New Roman"/>
              </w:rPr>
              <w:t>4.38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711924">
              <w:rPr>
                <w:rFonts w:ascii="Calibri" w:eastAsia="Calibri" w:hAnsi="Calibri" w:cs="Times New Roman"/>
              </w:rPr>
              <w:t>0.002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E52CEE" w:rsidRPr="00823FEE" w:rsidRDefault="00E52CEE" w:rsidP="00684833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711924">
              <w:rPr>
                <w:rFonts w:ascii="Calibri" w:eastAsia="Calibri" w:hAnsi="Calibri" w:cs="Times New Roman"/>
              </w:rPr>
              <w:t>.12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711924">
              <w:rPr>
                <w:rFonts w:ascii="Calibri" w:eastAsia="Calibri" w:hAnsi="Calibri" w:cs="Times New Roman"/>
              </w:rPr>
              <w:t>0.0503</w:t>
            </w:r>
          </w:p>
        </w:tc>
        <w:tc>
          <w:tcPr>
            <w:tcW w:w="634" w:type="pct"/>
          </w:tcPr>
          <w:p w:rsidR="00E52CEE" w:rsidRPr="00823FEE" w:rsidRDefault="00260D48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0.3018</w:t>
            </w:r>
          </w:p>
        </w:tc>
      </w:tr>
      <w:tr w:rsidR="004F0232" w:rsidRPr="00823FEE" w:rsidTr="00F11589">
        <w:trPr>
          <w:cnfStyle w:val="000000100000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Physical Functioning (PF) Subdomain in Round 4</w:t>
            </w:r>
          </w:p>
        </w:tc>
      </w:tr>
      <w:tr w:rsidR="00E52CEE" w:rsidRPr="00823FEE" w:rsidTr="00F11589">
        <w:tc>
          <w:tcPr>
            <w:cnfStyle w:val="001000000000"/>
            <w:tcW w:w="1162" w:type="pct"/>
          </w:tcPr>
          <w:p w:rsidR="00E52CEE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E52CEE" w:rsidRDefault="00711924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41.23 (0.67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Default="00711924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39.92</w:t>
            </w:r>
          </w:p>
        </w:tc>
        <w:tc>
          <w:tcPr>
            <w:tcW w:w="467" w:type="pct"/>
          </w:tcPr>
          <w:p w:rsidR="00E52CEE" w:rsidRDefault="00711924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42.54</w:t>
            </w:r>
          </w:p>
        </w:tc>
        <w:tc>
          <w:tcPr>
            <w:tcW w:w="968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B3465C" w:rsidRPr="00823FEE" w:rsidTr="00F11589">
        <w:trPr>
          <w:cnfStyle w:val="000000100000"/>
        </w:trPr>
        <w:tc>
          <w:tcPr>
            <w:cnfStyle w:val="001000000000"/>
            <w:tcW w:w="1162" w:type="pct"/>
          </w:tcPr>
          <w:p w:rsidR="00B3465C" w:rsidRPr="00823FEE" w:rsidRDefault="00B3465C" w:rsidP="00B3465C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0-20 milligrams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39.37</w:t>
            </w:r>
            <w:r w:rsidR="00B3465C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1.06</w:t>
            </w:r>
            <w:r w:rsidR="00B3465C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37.29</w:t>
            </w:r>
          </w:p>
        </w:tc>
        <w:tc>
          <w:tcPr>
            <w:tcW w:w="467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41.45</w:t>
            </w:r>
          </w:p>
        </w:tc>
        <w:tc>
          <w:tcPr>
            <w:tcW w:w="968" w:type="pct"/>
          </w:tcPr>
          <w:p w:rsidR="00B3465C" w:rsidRPr="00D12AC5" w:rsidRDefault="00AD0D47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-1.86</w:t>
            </w:r>
            <w:r w:rsidR="00B3465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(-4.31, 0.60</w:t>
            </w:r>
            <w:r w:rsidR="00B3465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1.25, 0.1386</w:t>
            </w:r>
          </w:p>
        </w:tc>
        <w:tc>
          <w:tcPr>
            <w:tcW w:w="634" w:type="pct"/>
          </w:tcPr>
          <w:p w:rsidR="00B3465C" w:rsidRPr="0004378C" w:rsidRDefault="00260D48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0.9702</w:t>
            </w:r>
          </w:p>
        </w:tc>
      </w:tr>
      <w:tr w:rsidR="00E52CEE" w:rsidRPr="00823FEE" w:rsidTr="00F11589">
        <w:tc>
          <w:tcPr>
            <w:cnfStyle w:val="001000000000"/>
            <w:tcW w:w="1162" w:type="pct"/>
          </w:tcPr>
          <w:p w:rsidR="00E52CEE" w:rsidRPr="00530BB0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b,c</w:t>
            </w:r>
          </w:p>
        </w:tc>
        <w:tc>
          <w:tcPr>
            <w:tcW w:w="667" w:type="pct"/>
          </w:tcPr>
          <w:p w:rsidR="00E52CEE" w:rsidRPr="00823FEE" w:rsidRDefault="00AD0D47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40.35</w:t>
            </w:r>
            <w:r w:rsidR="00E52CEE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0.84</w:t>
            </w:r>
            <w:r w:rsidR="00E52CEE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Pr="00823FEE" w:rsidRDefault="00AD0D47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38.71</w:t>
            </w:r>
          </w:p>
        </w:tc>
        <w:tc>
          <w:tcPr>
            <w:tcW w:w="467" w:type="pct"/>
          </w:tcPr>
          <w:p w:rsidR="00E52CEE" w:rsidRPr="00823FEE" w:rsidRDefault="00AD0D47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41.99</w:t>
            </w:r>
          </w:p>
        </w:tc>
        <w:tc>
          <w:tcPr>
            <w:tcW w:w="968" w:type="pct"/>
          </w:tcPr>
          <w:p w:rsidR="00E52CEE" w:rsidRPr="00823FEE" w:rsidRDefault="00E52CEE" w:rsidP="00684833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AD0D47">
              <w:rPr>
                <w:rFonts w:ascii="Calibri" w:eastAsia="Calibri" w:hAnsi="Calibri" w:cs="Times New Roman"/>
              </w:rPr>
              <w:t>0.88</w:t>
            </w:r>
            <w:r>
              <w:rPr>
                <w:rFonts w:ascii="Calibri" w:eastAsia="Calibri" w:hAnsi="Calibri" w:cs="Times New Roman"/>
              </w:rPr>
              <w:t xml:space="preserve"> (-</w:t>
            </w:r>
            <w:r w:rsidR="00AD0D47">
              <w:rPr>
                <w:rFonts w:ascii="Calibri" w:eastAsia="Calibri" w:hAnsi="Calibri" w:cs="Times New Roman"/>
              </w:rPr>
              <w:t>2.98, 1.22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AD0D47">
              <w:rPr>
                <w:rFonts w:ascii="Calibri" w:eastAsia="Calibri" w:hAnsi="Calibri" w:cs="Times New Roman"/>
              </w:rPr>
              <w:t>.07, 0.4123</w:t>
            </w:r>
          </w:p>
        </w:tc>
        <w:tc>
          <w:tcPr>
            <w:tcW w:w="634" w:type="pct"/>
          </w:tcPr>
          <w:p w:rsidR="00E52CEE" w:rsidRPr="00823FEE" w:rsidRDefault="00260D48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4F0232" w:rsidRPr="00823FEE" w:rsidTr="00F11589">
        <w:trPr>
          <w:cnfStyle w:val="000000100000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Role Functioning (RF) Subdomain in Round 4</w:t>
            </w:r>
          </w:p>
        </w:tc>
      </w:tr>
      <w:tr w:rsidR="00E52CEE" w:rsidRPr="00823FEE" w:rsidTr="00F11589">
        <w:tc>
          <w:tcPr>
            <w:cnfStyle w:val="001000000000"/>
            <w:tcW w:w="1162" w:type="pct"/>
          </w:tcPr>
          <w:p w:rsidR="00E52CEE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E52CEE" w:rsidRDefault="00AD0D47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41.45 (0.64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Default="00AD0D47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40.20</w:t>
            </w:r>
          </w:p>
        </w:tc>
        <w:tc>
          <w:tcPr>
            <w:tcW w:w="467" w:type="pct"/>
          </w:tcPr>
          <w:p w:rsidR="00E52CEE" w:rsidRDefault="00AD0D47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42.70</w:t>
            </w:r>
          </w:p>
        </w:tc>
        <w:tc>
          <w:tcPr>
            <w:tcW w:w="968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B3465C" w:rsidRPr="00823FEE" w:rsidTr="00F11589">
        <w:trPr>
          <w:cnfStyle w:val="000000100000"/>
        </w:trPr>
        <w:tc>
          <w:tcPr>
            <w:cnfStyle w:val="001000000000"/>
            <w:tcW w:w="1162" w:type="pct"/>
          </w:tcPr>
          <w:p w:rsidR="00B3465C" w:rsidRPr="00823FEE" w:rsidRDefault="00B3465C" w:rsidP="00B3465C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0-20 milligrams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38.36</w:t>
            </w:r>
            <w:r w:rsidR="00B3465C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0.95</w:t>
            </w:r>
            <w:r w:rsidR="00B3465C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36.49</w:t>
            </w:r>
          </w:p>
        </w:tc>
        <w:tc>
          <w:tcPr>
            <w:tcW w:w="467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40.23</w:t>
            </w:r>
          </w:p>
        </w:tc>
        <w:tc>
          <w:tcPr>
            <w:tcW w:w="968" w:type="pct"/>
          </w:tcPr>
          <w:p w:rsidR="00B3465C" w:rsidRPr="00D12AC5" w:rsidRDefault="00AD0D47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-3.09 (-5.34, -0.84</w:t>
            </w:r>
            <w:r w:rsidR="00B3465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B3465C" w:rsidRPr="00823FEE" w:rsidRDefault="00B3465C" w:rsidP="00AD0D47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="00AD0D47">
              <w:rPr>
                <w:rFonts w:ascii="Calibri" w:eastAsia="Calibri" w:hAnsi="Calibri" w:cs="Times New Roman"/>
              </w:rPr>
              <w:t>15, 0.0072</w:t>
            </w:r>
          </w:p>
        </w:tc>
        <w:tc>
          <w:tcPr>
            <w:tcW w:w="634" w:type="pct"/>
          </w:tcPr>
          <w:p w:rsidR="00B3465C" w:rsidRPr="0004378C" w:rsidRDefault="00747CCB" w:rsidP="00B3465C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0.0144</w:t>
            </w:r>
          </w:p>
        </w:tc>
      </w:tr>
      <w:tr w:rsidR="00B3465C" w:rsidRPr="00823FEE" w:rsidTr="00F11589">
        <w:tc>
          <w:tcPr>
            <w:cnfStyle w:val="001000000000"/>
            <w:tcW w:w="1162" w:type="pct"/>
          </w:tcPr>
          <w:p w:rsidR="00B3465C" w:rsidRPr="00530BB0" w:rsidRDefault="00B3465C" w:rsidP="00B3465C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b,c</w:t>
            </w:r>
          </w:p>
        </w:tc>
        <w:tc>
          <w:tcPr>
            <w:tcW w:w="667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40.31</w:t>
            </w:r>
            <w:r w:rsidR="00B3465C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0.79</w:t>
            </w:r>
            <w:r w:rsidR="00B3465C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38.75</w:t>
            </w:r>
          </w:p>
        </w:tc>
        <w:tc>
          <w:tcPr>
            <w:tcW w:w="467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41.87</w:t>
            </w:r>
          </w:p>
        </w:tc>
        <w:tc>
          <w:tcPr>
            <w:tcW w:w="968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-1.14 (-3.13, 0.86</w:t>
            </w:r>
            <w:r w:rsidR="00B3465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B3465C" w:rsidRPr="00823FEE" w:rsidRDefault="00AD0D47" w:rsidP="00B3465C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1.02, 0.262</w:t>
            </w:r>
            <w:r w:rsidR="00B3465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34" w:type="pct"/>
          </w:tcPr>
          <w:p w:rsidR="00B3465C" w:rsidRPr="00823FEE" w:rsidRDefault="00260D48" w:rsidP="00B3465C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  <w:tr w:rsidR="004F0232" w:rsidRPr="00823FEE" w:rsidTr="00F11589">
        <w:trPr>
          <w:cnfStyle w:val="000000100000"/>
        </w:trPr>
        <w:tc>
          <w:tcPr>
            <w:cnfStyle w:val="001000000000"/>
            <w:tcW w:w="5000" w:type="pct"/>
            <w:gridSpan w:val="7"/>
          </w:tcPr>
          <w:p w:rsidR="004F0232" w:rsidRDefault="004F0232" w:rsidP="004F0232">
            <w:pPr>
              <w:tabs>
                <w:tab w:val="left" w:pos="5400"/>
              </w:tabs>
              <w:jc w:val="center"/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</w:rPr>
              <w:t>General Overall Health Perceptions (GH) Subdomain in Round 4</w:t>
            </w:r>
          </w:p>
        </w:tc>
      </w:tr>
      <w:tr w:rsidR="00E52CEE" w:rsidRPr="00823FEE" w:rsidTr="00F11589">
        <w:tc>
          <w:tcPr>
            <w:cnfStyle w:val="001000000000"/>
            <w:tcW w:w="1162" w:type="pct"/>
          </w:tcPr>
          <w:p w:rsidR="00E52CEE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Opioid Use</w:t>
            </w:r>
          </w:p>
        </w:tc>
        <w:tc>
          <w:tcPr>
            <w:tcW w:w="667" w:type="pct"/>
          </w:tcPr>
          <w:p w:rsidR="00E52CEE" w:rsidRDefault="00AD0D47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39.00 (0.58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Default="00AD0D47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37.85</w:t>
            </w:r>
          </w:p>
        </w:tc>
        <w:tc>
          <w:tcPr>
            <w:tcW w:w="467" w:type="pct"/>
          </w:tcPr>
          <w:p w:rsidR="00E52CEE" w:rsidRDefault="00AD0D47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40.14</w:t>
            </w:r>
          </w:p>
        </w:tc>
        <w:tc>
          <w:tcPr>
            <w:tcW w:w="968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79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</w:t>
            </w:r>
          </w:p>
        </w:tc>
        <w:tc>
          <w:tcPr>
            <w:tcW w:w="634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E52CEE" w:rsidRPr="00823FEE" w:rsidTr="00F11589">
        <w:trPr>
          <w:cnfStyle w:val="000000100000"/>
        </w:trPr>
        <w:tc>
          <w:tcPr>
            <w:cnfStyle w:val="001000000000"/>
            <w:tcW w:w="1162" w:type="pct"/>
          </w:tcPr>
          <w:p w:rsidR="00E52CEE" w:rsidRPr="00823FEE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0-20 milligrams</w:t>
            </w:r>
            <w:r w:rsidRPr="00823FEE">
              <w:rPr>
                <w:rFonts w:ascii="Calibri" w:eastAsia="Calibri" w:hAnsi="Calibri" w:cs="Times New Roman"/>
                <w:vertAlign w:val="superscript"/>
              </w:rPr>
              <w:t>b</w:t>
            </w:r>
            <w:r>
              <w:rPr>
                <w:rFonts w:ascii="Calibri" w:eastAsia="Calibri" w:hAnsi="Calibri" w:cs="Times New Roman"/>
                <w:vertAlign w:val="superscript"/>
              </w:rPr>
              <w:t>,c</w:t>
            </w:r>
          </w:p>
        </w:tc>
        <w:tc>
          <w:tcPr>
            <w:tcW w:w="667" w:type="pct"/>
          </w:tcPr>
          <w:p w:rsidR="00E52CEE" w:rsidRPr="00823FEE" w:rsidRDefault="00AD0D47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36.69</w:t>
            </w:r>
            <w:r w:rsidR="00E52CEE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0.93</w:t>
            </w:r>
            <w:r w:rsidR="00E52CEE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Pr="00823FEE" w:rsidRDefault="00AD0D47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34.87</w:t>
            </w:r>
          </w:p>
        </w:tc>
        <w:tc>
          <w:tcPr>
            <w:tcW w:w="467" w:type="pct"/>
          </w:tcPr>
          <w:p w:rsidR="00E52CEE" w:rsidRPr="00823FEE" w:rsidRDefault="00AD0D47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38.51</w:t>
            </w:r>
          </w:p>
        </w:tc>
        <w:tc>
          <w:tcPr>
            <w:tcW w:w="968" w:type="pct"/>
          </w:tcPr>
          <w:p w:rsidR="00E52CEE" w:rsidRPr="00D12AC5" w:rsidRDefault="00E32728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-2.31</w:t>
            </w:r>
            <w:r w:rsidR="00E52C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-4.4</w:t>
            </w:r>
            <w:r w:rsidR="00B3465C">
              <w:rPr>
                <w:rFonts w:ascii="Calibri" w:eastAsia="Calibri" w:hAnsi="Calibri" w:cs="Times New Roman"/>
              </w:rPr>
              <w:t>6</w:t>
            </w:r>
            <w:r w:rsidR="00E52CE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-0.16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E52CEE" w:rsidRPr="00823FEE" w:rsidRDefault="00E32728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1.10</w:t>
            </w:r>
            <w:r w:rsidR="00E52CEE">
              <w:rPr>
                <w:rFonts w:ascii="Calibri" w:eastAsia="Calibri" w:hAnsi="Calibri" w:cs="Times New Roman"/>
              </w:rPr>
              <w:t>, 0.</w:t>
            </w:r>
            <w:r>
              <w:rPr>
                <w:rFonts w:ascii="Calibri" w:eastAsia="Calibri" w:hAnsi="Calibri" w:cs="Times New Roman"/>
              </w:rPr>
              <w:t>0354</w:t>
            </w:r>
          </w:p>
        </w:tc>
        <w:tc>
          <w:tcPr>
            <w:tcW w:w="634" w:type="pct"/>
          </w:tcPr>
          <w:p w:rsidR="00E52CEE" w:rsidRPr="0004378C" w:rsidRDefault="00747CCB" w:rsidP="00E52CEE">
            <w:pPr>
              <w:tabs>
                <w:tab w:val="left" w:pos="5400"/>
              </w:tabs>
              <w:jc w:val="center"/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0.1416</w:t>
            </w:r>
          </w:p>
        </w:tc>
      </w:tr>
      <w:tr w:rsidR="00E52CEE" w:rsidRPr="00823FEE" w:rsidTr="00F11589">
        <w:tc>
          <w:tcPr>
            <w:cnfStyle w:val="001000000000"/>
            <w:tcW w:w="1162" w:type="pct"/>
          </w:tcPr>
          <w:p w:rsidR="00E52CEE" w:rsidRPr="00530BB0" w:rsidRDefault="00E52CEE" w:rsidP="00E52CEE">
            <w:pPr>
              <w:tabs>
                <w:tab w:val="left" w:pos="5400"/>
              </w:tabs>
              <w:jc w:val="right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≥20 milligrams</w:t>
            </w:r>
            <w:r>
              <w:rPr>
                <w:rFonts w:ascii="Calibri" w:eastAsia="Calibri" w:hAnsi="Calibri" w:cs="Times New Roman"/>
                <w:vertAlign w:val="superscript"/>
              </w:rPr>
              <w:t>b,c</w:t>
            </w:r>
          </w:p>
        </w:tc>
        <w:tc>
          <w:tcPr>
            <w:tcW w:w="667" w:type="pct"/>
          </w:tcPr>
          <w:p w:rsidR="00E52CEE" w:rsidRPr="00823FEE" w:rsidRDefault="00E32728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39.35</w:t>
            </w:r>
            <w:r w:rsidR="00E52CEE" w:rsidRPr="00823FEE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0.73</w:t>
            </w:r>
            <w:r w:rsidR="00E52CEE" w:rsidRPr="00823F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3" w:type="pct"/>
          </w:tcPr>
          <w:p w:rsidR="00E52CEE" w:rsidRPr="00823FEE" w:rsidRDefault="00E32728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37.92</w:t>
            </w:r>
          </w:p>
        </w:tc>
        <w:tc>
          <w:tcPr>
            <w:tcW w:w="467" w:type="pct"/>
          </w:tcPr>
          <w:p w:rsidR="00E52CEE" w:rsidRPr="00823FEE" w:rsidRDefault="00E32728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40.79</w:t>
            </w:r>
          </w:p>
        </w:tc>
        <w:tc>
          <w:tcPr>
            <w:tcW w:w="968" w:type="pct"/>
          </w:tcPr>
          <w:p w:rsidR="00E52CEE" w:rsidRPr="00823FEE" w:rsidRDefault="00E32728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0.36</w:t>
            </w:r>
            <w:r w:rsidR="00E52CEE">
              <w:rPr>
                <w:rFonts w:ascii="Calibri" w:eastAsia="Calibri" w:hAnsi="Calibri" w:cs="Times New Roman"/>
              </w:rPr>
              <w:t xml:space="preserve"> (-</w:t>
            </w:r>
            <w:r>
              <w:rPr>
                <w:rFonts w:ascii="Calibri" w:eastAsia="Calibri" w:hAnsi="Calibri" w:cs="Times New Roman"/>
              </w:rPr>
              <w:t>1.48</w:t>
            </w:r>
            <w:r w:rsidR="00832909">
              <w:rPr>
                <w:rFonts w:ascii="Calibri" w:eastAsia="Calibri" w:hAnsi="Calibri" w:cs="Times New Roman"/>
              </w:rPr>
              <w:t>, 2.19</w:t>
            </w:r>
            <w:r w:rsidR="00E52CE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9" w:type="pct"/>
          </w:tcPr>
          <w:p w:rsidR="00E52CEE" w:rsidRPr="00823FEE" w:rsidRDefault="00E32728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0.93</w:t>
            </w:r>
            <w:r w:rsidR="00E52CE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0.7026</w:t>
            </w:r>
          </w:p>
        </w:tc>
        <w:tc>
          <w:tcPr>
            <w:tcW w:w="634" w:type="pct"/>
          </w:tcPr>
          <w:p w:rsidR="00E52CEE" w:rsidRPr="00823FEE" w:rsidRDefault="00260D48" w:rsidP="00E52CEE">
            <w:pPr>
              <w:tabs>
                <w:tab w:val="left" w:pos="5400"/>
              </w:tabs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1.0000</w:t>
            </w:r>
          </w:p>
        </w:tc>
      </w:tr>
    </w:tbl>
    <w:p w:rsidR="004F0232" w:rsidRDefault="004F0232" w:rsidP="002C0097">
      <w:pPr>
        <w:jc w:val="right"/>
      </w:pPr>
      <w:r w:rsidRPr="001177A2">
        <w:rPr>
          <w:rFonts w:ascii="Calibri" w:eastAsia="Calibri" w:hAnsi="Calibri" w:cs="Times New Roman"/>
          <w:sz w:val="16"/>
          <w:szCs w:val="20"/>
          <w:vertAlign w:val="superscript"/>
        </w:rPr>
        <w:t>a</w:t>
      </w:r>
      <w:r w:rsidRPr="001177A2">
        <w:rPr>
          <w:rFonts w:ascii="Calibri" w:eastAsia="Calibri" w:hAnsi="Calibri" w:cs="Times New Roman"/>
          <w:sz w:val="16"/>
          <w:szCs w:val="20"/>
        </w:rPr>
        <w:t xml:space="preserve">SE=Standard Error, </w:t>
      </w:r>
      <w:r w:rsidRPr="001177A2">
        <w:rPr>
          <w:rFonts w:ascii="Calibri" w:eastAsia="Calibri" w:hAnsi="Calibri" w:cs="Times New Roman"/>
          <w:sz w:val="16"/>
          <w:szCs w:val="20"/>
          <w:vertAlign w:val="superscript"/>
        </w:rPr>
        <w:t>b</w:t>
      </w:r>
      <w:r>
        <w:rPr>
          <w:rFonts w:ascii="Calibri" w:eastAsia="Calibri" w:hAnsi="Calibri" w:cs="Times New Roman"/>
          <w:sz w:val="16"/>
          <w:szCs w:val="20"/>
        </w:rPr>
        <w:t>Compared</w:t>
      </w:r>
      <w:r w:rsidRPr="001177A2">
        <w:rPr>
          <w:rFonts w:ascii="Calibri" w:eastAsia="Calibri" w:hAnsi="Calibri" w:cs="Times New Roman"/>
          <w:sz w:val="16"/>
          <w:szCs w:val="20"/>
        </w:rPr>
        <w:t xml:space="preserve"> to No Opioid Use</w:t>
      </w:r>
      <w:r>
        <w:rPr>
          <w:rFonts w:ascii="Calibri" w:eastAsia="Calibri" w:hAnsi="Calibri" w:cs="Times New Roman"/>
          <w:sz w:val="16"/>
          <w:szCs w:val="20"/>
        </w:rPr>
        <w:t xml:space="preserve">, </w:t>
      </w:r>
      <w:r w:rsidR="002C0097">
        <w:rPr>
          <w:rFonts w:ascii="Calibri" w:eastAsia="Calibri" w:hAnsi="Calibri" w:cs="Times New Roman"/>
          <w:sz w:val="16"/>
          <w:szCs w:val="20"/>
          <w:vertAlign w:val="superscript"/>
        </w:rPr>
        <w:t>c</w:t>
      </w:r>
      <w:r w:rsidR="002C0097">
        <w:rPr>
          <w:rFonts w:ascii="Calibri" w:eastAsia="Calibri" w:hAnsi="Calibri" w:cs="Times New Roman"/>
          <w:sz w:val="16"/>
          <w:szCs w:val="20"/>
        </w:rPr>
        <w:t xml:space="preserve">Average Daily Dose in milligrams of morphine equivalents, </w:t>
      </w:r>
      <w:r w:rsidR="002C0097">
        <w:rPr>
          <w:rFonts w:ascii="Calibri" w:eastAsia="Calibri" w:hAnsi="Calibri" w:cs="Times New Roman"/>
          <w:sz w:val="16"/>
          <w:szCs w:val="20"/>
          <w:vertAlign w:val="superscript"/>
        </w:rPr>
        <w:t xml:space="preserve"> d</w:t>
      </w:r>
      <w:r>
        <w:rPr>
          <w:rFonts w:ascii="Calibri" w:eastAsia="Calibri" w:hAnsi="Calibri" w:cs="Times New Roman"/>
          <w:sz w:val="16"/>
          <w:szCs w:val="20"/>
        </w:rPr>
        <w:t>Adjustment via Hochberg’s Method</w:t>
      </w:r>
    </w:p>
    <w:p w:rsidR="00721722" w:rsidRPr="005D0EAB" w:rsidRDefault="00721722" w:rsidP="005D0EAB"/>
    <w:sectPr w:rsidR="00721722" w:rsidRPr="005D0EAB" w:rsidSect="0054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F3" w:rsidRDefault="001945F3" w:rsidP="00663F53">
      <w:pPr>
        <w:spacing w:after="0" w:line="240" w:lineRule="auto"/>
      </w:pPr>
      <w:r>
        <w:separator/>
      </w:r>
    </w:p>
  </w:endnote>
  <w:endnote w:type="continuationSeparator" w:id="0">
    <w:p w:rsidR="001945F3" w:rsidRDefault="001945F3" w:rsidP="0066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F3" w:rsidRDefault="001945F3" w:rsidP="00663F53">
      <w:pPr>
        <w:spacing w:after="0" w:line="240" w:lineRule="auto"/>
      </w:pPr>
      <w:r>
        <w:separator/>
      </w:r>
    </w:p>
  </w:footnote>
  <w:footnote w:type="continuationSeparator" w:id="0">
    <w:p w:rsidR="001945F3" w:rsidRDefault="001945F3" w:rsidP="0066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34"/>
    <w:rsid w:val="0004378C"/>
    <w:rsid w:val="00043AA3"/>
    <w:rsid w:val="000A09C3"/>
    <w:rsid w:val="000E28D1"/>
    <w:rsid w:val="000F0395"/>
    <w:rsid w:val="00111397"/>
    <w:rsid w:val="001945F3"/>
    <w:rsid w:val="001A2825"/>
    <w:rsid w:val="001D3A83"/>
    <w:rsid w:val="001E5FA7"/>
    <w:rsid w:val="00260D48"/>
    <w:rsid w:val="00263862"/>
    <w:rsid w:val="00275871"/>
    <w:rsid w:val="002C0097"/>
    <w:rsid w:val="00494A34"/>
    <w:rsid w:val="004F0232"/>
    <w:rsid w:val="004F570D"/>
    <w:rsid w:val="00530BB0"/>
    <w:rsid w:val="0054760B"/>
    <w:rsid w:val="005A6529"/>
    <w:rsid w:val="005C2BF2"/>
    <w:rsid w:val="005D0EAB"/>
    <w:rsid w:val="00663F53"/>
    <w:rsid w:val="00684833"/>
    <w:rsid w:val="006B613A"/>
    <w:rsid w:val="006C2C86"/>
    <w:rsid w:val="00711924"/>
    <w:rsid w:val="00721722"/>
    <w:rsid w:val="00747CCB"/>
    <w:rsid w:val="0076387B"/>
    <w:rsid w:val="007D3246"/>
    <w:rsid w:val="007F427D"/>
    <w:rsid w:val="00832909"/>
    <w:rsid w:val="0083723F"/>
    <w:rsid w:val="009068FD"/>
    <w:rsid w:val="009A6730"/>
    <w:rsid w:val="00AD0D47"/>
    <w:rsid w:val="00B00793"/>
    <w:rsid w:val="00B00995"/>
    <w:rsid w:val="00B04EC1"/>
    <w:rsid w:val="00B3465C"/>
    <w:rsid w:val="00B56AF1"/>
    <w:rsid w:val="00BB019E"/>
    <w:rsid w:val="00BF7F51"/>
    <w:rsid w:val="00C30689"/>
    <w:rsid w:val="00C6732E"/>
    <w:rsid w:val="00C85EEF"/>
    <w:rsid w:val="00D12AC5"/>
    <w:rsid w:val="00D27530"/>
    <w:rsid w:val="00D90BB6"/>
    <w:rsid w:val="00DC48B3"/>
    <w:rsid w:val="00E32728"/>
    <w:rsid w:val="00E52CEE"/>
    <w:rsid w:val="00EC4115"/>
    <w:rsid w:val="00F11589"/>
    <w:rsid w:val="00F437BE"/>
    <w:rsid w:val="00F43B22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53"/>
  </w:style>
  <w:style w:type="paragraph" w:styleId="Footer">
    <w:name w:val="footer"/>
    <w:basedOn w:val="Normal"/>
    <w:link w:val="FooterChar"/>
    <w:uiPriority w:val="99"/>
    <w:unhideWhenUsed/>
    <w:rsid w:val="0066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53"/>
  </w:style>
  <w:style w:type="table" w:customStyle="1" w:styleId="ListTable6Colorful">
    <w:name w:val="List Table 6 Colorful"/>
    <w:basedOn w:val="TableNormal"/>
    <w:uiPriority w:val="51"/>
    <w:rsid w:val="00F115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COREY</dc:creator>
  <cp:lastModifiedBy>0013240</cp:lastModifiedBy>
  <cp:revision>2</cp:revision>
  <dcterms:created xsi:type="dcterms:W3CDTF">2018-07-17T00:51:00Z</dcterms:created>
  <dcterms:modified xsi:type="dcterms:W3CDTF">2018-07-17T00:51:00Z</dcterms:modified>
</cp:coreProperties>
</file>