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F" w:rsidRPr="00E3724F" w:rsidRDefault="006565A9" w:rsidP="00E3724F">
      <w:pPr>
        <w:pStyle w:val="Hoofdtekst"/>
        <w:rPr>
          <w:rFonts w:ascii="Arial" w:eastAsia="Arial" w:hAnsi="Arial" w:cs="Arial"/>
          <w:b/>
          <w:color w:val="auto"/>
          <w:sz w:val="20"/>
          <w:szCs w:val="20"/>
        </w:rPr>
      </w:pPr>
      <w:r w:rsidRPr="006565A9">
        <w:rPr>
          <w:rFonts w:ascii="Arial" w:eastAsia="Arial" w:hAnsi="Arial" w:cs="Arial"/>
          <w:color w:val="auto"/>
          <w:sz w:val="20"/>
          <w:szCs w:val="20"/>
        </w:rPr>
        <w:t>A preliminary prediction model for potentially guiding patient choices between breast conserving surgery and mastectomy in early breast cancer patients; a Dutch experience</w:t>
      </w:r>
      <w:r>
        <w:rPr>
          <w:rFonts w:ascii="Arial" w:eastAsia="Arial" w:hAnsi="Arial" w:cs="Arial"/>
          <w:color w:val="auto"/>
          <w:sz w:val="20"/>
          <w:szCs w:val="20"/>
        </w:rPr>
        <w:t>.</w:t>
      </w:r>
      <w:r w:rsidRPr="006565A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3724F" w:rsidRPr="006565A9">
        <w:rPr>
          <w:rFonts w:ascii="Arial" w:eastAsia="Arial" w:hAnsi="Arial" w:cs="Arial"/>
          <w:color w:val="auto"/>
          <w:sz w:val="20"/>
          <w:szCs w:val="20"/>
          <w:lang w:val="nl-NL"/>
        </w:rPr>
        <w:t xml:space="preserve">Elvira Vos, Linetta Koppert, </w:t>
      </w:r>
      <w:proofErr w:type="spellStart"/>
      <w:r w:rsidR="00E3724F" w:rsidRPr="006565A9">
        <w:rPr>
          <w:rFonts w:ascii="Arial" w:eastAsia="Arial" w:hAnsi="Arial" w:cs="Arial"/>
          <w:color w:val="auto"/>
          <w:sz w:val="20"/>
          <w:szCs w:val="20"/>
          <w:lang w:val="nl-NL"/>
        </w:rPr>
        <w:t>Winnifred</w:t>
      </w:r>
      <w:proofErr w:type="spellEnd"/>
      <w:r w:rsidR="00E3724F" w:rsidRPr="006565A9">
        <w:rPr>
          <w:rFonts w:ascii="Arial" w:eastAsia="Arial" w:hAnsi="Arial" w:cs="Arial"/>
          <w:color w:val="auto"/>
          <w:sz w:val="20"/>
          <w:szCs w:val="20"/>
          <w:lang w:val="nl-NL"/>
        </w:rPr>
        <w:t xml:space="preserve"> van Lankeren, Cornelis Verhoef, Bas Groot </w:t>
      </w:r>
      <w:proofErr w:type="spellStart"/>
      <w:r w:rsidR="00E3724F" w:rsidRPr="006565A9">
        <w:rPr>
          <w:rFonts w:ascii="Arial" w:eastAsia="Arial" w:hAnsi="Arial" w:cs="Arial"/>
          <w:color w:val="auto"/>
          <w:sz w:val="20"/>
          <w:szCs w:val="20"/>
          <w:lang w:val="nl-NL"/>
        </w:rPr>
        <w:t>Koerkamp</w:t>
      </w:r>
      <w:proofErr w:type="spellEnd"/>
      <w:r w:rsidR="00E3724F" w:rsidRPr="006565A9">
        <w:rPr>
          <w:rFonts w:ascii="Arial" w:eastAsia="Arial" w:hAnsi="Arial" w:cs="Arial"/>
          <w:color w:val="auto"/>
          <w:sz w:val="20"/>
          <w:szCs w:val="20"/>
          <w:lang w:val="nl-NL"/>
        </w:rPr>
        <w:t xml:space="preserve">, Myriam Hunink. </w:t>
      </w:r>
      <w:r w:rsidR="00E3724F" w:rsidRPr="00E3724F">
        <w:rPr>
          <w:rFonts w:ascii="Arial" w:eastAsia="Arial" w:hAnsi="Arial" w:cs="Arial"/>
          <w:color w:val="auto"/>
          <w:sz w:val="20"/>
          <w:szCs w:val="20"/>
        </w:rPr>
        <w:t>Department of Surgery, Erasmus MC Cancer Institute, Rot</w:t>
      </w:r>
      <w:bookmarkStart w:id="0" w:name="_GoBack"/>
      <w:bookmarkEnd w:id="0"/>
      <w:r w:rsidR="00E3724F" w:rsidRPr="00E3724F">
        <w:rPr>
          <w:rFonts w:ascii="Arial" w:eastAsia="Arial" w:hAnsi="Arial" w:cs="Arial"/>
          <w:color w:val="auto"/>
          <w:sz w:val="20"/>
          <w:szCs w:val="20"/>
        </w:rPr>
        <w:t>terdam, the Netherlands</w:t>
      </w:r>
      <w:r w:rsidR="00E3724F">
        <w:rPr>
          <w:rFonts w:ascii="Arial" w:eastAsia="Arial" w:hAnsi="Arial" w:cs="Arial"/>
          <w:color w:val="auto"/>
          <w:sz w:val="20"/>
          <w:szCs w:val="20"/>
        </w:rPr>
        <w:t>. Email: l.koppert@erasmusmc.nl</w:t>
      </w:r>
    </w:p>
    <w:p w:rsidR="00A801BF" w:rsidRDefault="00A801BF" w:rsidP="00A801BF">
      <w:pPr>
        <w:rPr>
          <w:rFonts w:ascii="Arial" w:hAnsi="Arial" w:cs="Arial"/>
          <w:sz w:val="18"/>
          <w:szCs w:val="20"/>
        </w:rPr>
      </w:pPr>
    </w:p>
    <w:tbl>
      <w:tblPr>
        <w:tblStyle w:val="LightShading"/>
        <w:tblpPr w:leftFromText="180" w:rightFromText="180" w:vertAnchor="page" w:horzAnchor="margin" w:tblpY="2894"/>
        <w:tblW w:w="8993" w:type="dxa"/>
        <w:tblLook w:val="0620" w:firstRow="1" w:lastRow="0" w:firstColumn="0" w:lastColumn="0" w:noHBand="1" w:noVBand="1"/>
      </w:tblPr>
      <w:tblGrid>
        <w:gridCol w:w="5852"/>
        <w:gridCol w:w="222"/>
        <w:gridCol w:w="651"/>
        <w:gridCol w:w="708"/>
        <w:gridCol w:w="709"/>
        <w:gridCol w:w="851"/>
      </w:tblGrid>
      <w:tr w:rsidR="00A801BF" w:rsidRPr="00E57F22" w:rsidTr="00A8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852" w:type="dxa"/>
            <w:noWrap/>
          </w:tcPr>
          <w:p w:rsidR="00A801BF" w:rsidRPr="005D4A90" w:rsidRDefault="00A801BF" w:rsidP="00A801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4A90">
              <w:rPr>
                <w:rFonts w:ascii="Arial" w:hAnsi="Arial" w:cs="Arial"/>
                <w:iCs/>
                <w:sz w:val="20"/>
                <w:szCs w:val="20"/>
              </w:rPr>
              <w:t>Online resource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1 </w:t>
            </w:r>
            <w:r w:rsidRPr="00A801BF">
              <w:rPr>
                <w:rFonts w:ascii="Arial" w:hAnsi="Arial" w:cs="Arial"/>
                <w:b w:val="0"/>
                <w:sz w:val="20"/>
                <w:szCs w:val="20"/>
              </w:rPr>
              <w:t>Erasmus MC Panel questionnaire</w:t>
            </w:r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BF" w:rsidRPr="00E57F22" w:rsidTr="00A801BF">
        <w:trPr>
          <w:trHeight w:val="260"/>
        </w:trPr>
        <w:tc>
          <w:tcPr>
            <w:tcW w:w="585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Overall cosmetic result</w:t>
            </w:r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Appearance of the surgical scar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585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Size of the breast</w:t>
            </w:r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Shape of the breast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Position of the nipple-areola complex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 xml:space="preserve">Size of the nipple-areola complex 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 xml:space="preserve">Color of the nipple-areola complex 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585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Position of inframammary fold</w:t>
            </w:r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585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Color of the skin</w:t>
            </w:r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585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F22">
              <w:rPr>
                <w:rFonts w:ascii="Arial" w:hAnsi="Arial" w:cs="Arial"/>
                <w:sz w:val="20"/>
                <w:szCs w:val="20"/>
              </w:rPr>
              <w:t>Teleangiectasia</w:t>
            </w:r>
            <w:proofErr w:type="spellEnd"/>
          </w:p>
        </w:tc>
        <w:tc>
          <w:tcPr>
            <w:tcW w:w="222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01BF" w:rsidRPr="00E57F22" w:rsidTr="00A801BF">
        <w:trPr>
          <w:trHeight w:val="260"/>
        </w:trPr>
        <w:tc>
          <w:tcPr>
            <w:tcW w:w="6074" w:type="dxa"/>
            <w:gridSpan w:val="2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Symmetry</w:t>
            </w:r>
          </w:p>
        </w:tc>
        <w:tc>
          <w:tcPr>
            <w:tcW w:w="6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A801BF" w:rsidRPr="00E57F22" w:rsidRDefault="00A801BF" w:rsidP="00A801BF">
            <w:pPr>
              <w:rPr>
                <w:rFonts w:ascii="Arial" w:hAnsi="Arial" w:cs="Arial"/>
                <w:sz w:val="20"/>
                <w:szCs w:val="20"/>
              </w:rPr>
            </w:pPr>
            <w:r w:rsidRPr="00E57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801BF" w:rsidRPr="00C41084" w:rsidRDefault="00A801BF" w:rsidP="00A801BF">
      <w:pPr>
        <w:rPr>
          <w:rFonts w:ascii="Arial" w:hAnsi="Arial" w:cs="Arial"/>
          <w:sz w:val="18"/>
          <w:szCs w:val="20"/>
        </w:rPr>
      </w:pPr>
      <w:r w:rsidRPr="00C41084">
        <w:rPr>
          <w:rFonts w:ascii="Arial" w:hAnsi="Arial" w:cs="Arial"/>
          <w:sz w:val="18"/>
          <w:szCs w:val="20"/>
        </w:rPr>
        <w:t>0 = excellent result (without visible treatment sequelae)</w:t>
      </w:r>
      <w:r w:rsidRPr="00C41084">
        <w:rPr>
          <w:rFonts w:ascii="Arial" w:hAnsi="Arial" w:cs="Arial"/>
          <w:sz w:val="18"/>
          <w:szCs w:val="20"/>
        </w:rPr>
        <w:br/>
        <w:t>1 = good result (slight sequelae with minimal difference between treated and untreated breast)</w:t>
      </w:r>
      <w:r w:rsidRPr="00C41084">
        <w:rPr>
          <w:rFonts w:ascii="Arial" w:hAnsi="Arial" w:cs="Arial"/>
          <w:sz w:val="18"/>
          <w:szCs w:val="20"/>
        </w:rPr>
        <w:br/>
        <w:t xml:space="preserve">2 = fair result (obvious difference </w:t>
      </w:r>
      <w:proofErr w:type="spellStart"/>
      <w:r w:rsidRPr="00C41084">
        <w:rPr>
          <w:rFonts w:ascii="Arial" w:hAnsi="Arial" w:cs="Arial"/>
          <w:sz w:val="18"/>
          <w:szCs w:val="20"/>
        </w:rPr>
        <w:t>difference</w:t>
      </w:r>
      <w:proofErr w:type="spellEnd"/>
      <w:r w:rsidRPr="00C41084">
        <w:rPr>
          <w:rFonts w:ascii="Arial" w:hAnsi="Arial" w:cs="Arial"/>
          <w:sz w:val="18"/>
          <w:szCs w:val="20"/>
        </w:rPr>
        <w:t xml:space="preserve"> between treated and untreated breast but without major distortion)</w:t>
      </w:r>
      <w:r w:rsidRPr="00C41084">
        <w:rPr>
          <w:rFonts w:ascii="Arial" w:hAnsi="Arial" w:cs="Arial"/>
          <w:sz w:val="18"/>
          <w:szCs w:val="20"/>
        </w:rPr>
        <w:br/>
        <w:t>3 = poor result (major aesthetic sequelae)</w:t>
      </w:r>
    </w:p>
    <w:p w:rsidR="00A801BF" w:rsidRDefault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b/>
          <w:sz w:val="20"/>
          <w:szCs w:val="20"/>
          <w:u w:color="000000"/>
        </w:rPr>
      </w:pPr>
    </w:p>
    <w:p w:rsidR="00A801BF" w:rsidRDefault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b/>
          <w:sz w:val="20"/>
          <w:szCs w:val="20"/>
          <w:u w:color="00000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tbl>
      <w:tblPr>
        <w:tblStyle w:val="LightShading"/>
        <w:tblW w:w="9139" w:type="dxa"/>
        <w:tblLook w:val="06A0" w:firstRow="1" w:lastRow="0" w:firstColumn="1" w:lastColumn="0" w:noHBand="1" w:noVBand="1"/>
      </w:tblPr>
      <w:tblGrid>
        <w:gridCol w:w="4077"/>
        <w:gridCol w:w="1843"/>
        <w:gridCol w:w="667"/>
        <w:gridCol w:w="1885"/>
        <w:gridCol w:w="667"/>
      </w:tblGrid>
      <w:tr w:rsidR="00A801BF" w:rsidRPr="00117B02" w:rsidTr="0004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9" w:type="dxa"/>
            <w:gridSpan w:val="5"/>
            <w:noWrap/>
            <w:hideMark/>
          </w:tcPr>
          <w:p w:rsidR="00A801BF" w:rsidRPr="00117B02" w:rsidRDefault="00A801BF" w:rsidP="00A80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>
              <w:rPr>
                <w:rFonts w:ascii="Arial" w:eastAsia="Arial" w:hAnsi="Arial" w:cs="Arial"/>
                <w:b w:val="0"/>
                <w:color w:val="auto"/>
                <w:sz w:val="20"/>
                <w:szCs w:val="20"/>
              </w:rPr>
              <w:lastRenderedPageBreak/>
              <w:br w:type="page"/>
            </w:r>
            <w:r w:rsidRPr="00117B02">
              <w:rPr>
                <w:rFonts w:ascii="Arial" w:eastAsia="Times New Roman" w:hAnsi="Arial" w:cs="Arial"/>
                <w:color w:val="000000"/>
                <w:sz w:val="20"/>
                <w:szCs w:val="18"/>
                <w:bdr w:val="none" w:sz="0" w:space="0" w:color="auto"/>
              </w:rPr>
              <w:t xml:space="preserve">Online Resource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bdr w:val="none" w:sz="0" w:space="0" w:color="auto"/>
              </w:rPr>
              <w:t>2</w:t>
            </w:r>
            <w:r w:rsidRPr="00117B02">
              <w:rPr>
                <w:rFonts w:ascii="Arial" w:eastAsia="Times New Roman" w:hAnsi="Arial" w:cs="Arial"/>
                <w:color w:val="000000"/>
                <w:sz w:val="20"/>
                <w:szCs w:val="18"/>
                <w:bdr w:val="none" w:sz="0" w:space="0" w:color="auto"/>
              </w:rPr>
              <w:t xml:space="preserve"> </w:t>
            </w:r>
            <w:r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bdr w:val="none" w:sz="0" w:space="0" w:color="auto"/>
              </w:rPr>
              <w:t>Univariable and multivariable linear regression analysis for predictors of cosmetic result as evaluated by a panel</w:t>
            </w:r>
            <w:r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bdr w:val="none" w:sz="0" w:space="0" w:color="auto"/>
                <w:vertAlign w:val="superscript"/>
              </w:rPr>
              <w:t>a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10" w:type="dxa"/>
            <w:gridSpan w:val="2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Univariable</w:t>
            </w:r>
          </w:p>
        </w:tc>
        <w:tc>
          <w:tcPr>
            <w:tcW w:w="2552" w:type="dxa"/>
            <w:gridSpan w:val="2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proofErr w:type="spellStart"/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Multivariable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b</w:t>
            </w:r>
            <w:proofErr w:type="spellEnd"/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OR (95%CI)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1F5E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OR (95%CI)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Age (years)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0.01 (-0.01, 0.03)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0.284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Radiological tumor diameter (cm)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0.20 (0.04, 0.36)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0.018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Tumor volume/breast volume ratio (TV/BV ratio)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0.04 (0.01, 0.07)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0.017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Tumor location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0.04 (0.00, 0.07)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0.028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  Upper lateral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reference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reference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  Lower lateral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0.51 (0.17, 0.85)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0.004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  Upper medial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-0.09 (-0.42, 0.24)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0.587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0.41 (0.09, 0.74)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0.015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  Lower medial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0.47 (-0.16, 1.09)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0.138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  Central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0.01 (-0.45, 0.47)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0.981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0.61 (0.04-1.18)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0.036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Pathological tumor diameter (cm)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0.15 (-0.02, 0.33)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0.090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Adjacent DCIS (yes versus no)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0.19 (-0.07, 0.46)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0.148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Specimen weight (gram)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0.01 (0.002, 0.01)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0.003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0.004 (0.001, 0.007)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/>
              </w:rPr>
              <w:t>0.008</w:t>
            </w: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Excision volume (g/cm3)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0.05 (0.02, 0.09)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0.001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Re-excision (yes versus no)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0.27 (-0.25, 0.78)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0.303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A801BF" w:rsidRPr="00117B02" w:rsidTr="0004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Time of follow-up (months)</w:t>
            </w:r>
          </w:p>
        </w:tc>
        <w:tc>
          <w:tcPr>
            <w:tcW w:w="1843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&lt;0.01 (-0.01, 0.01)</w:t>
            </w: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117B0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0.850</w:t>
            </w:r>
          </w:p>
        </w:tc>
        <w:tc>
          <w:tcPr>
            <w:tcW w:w="1885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67" w:type="dxa"/>
            <w:noWrap/>
            <w:hideMark/>
          </w:tcPr>
          <w:p w:rsidR="00A801BF" w:rsidRPr="00117B02" w:rsidRDefault="00A801BF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</w:tbl>
    <w:p w:rsidR="001F5EA7" w:rsidRPr="001F5EA7" w:rsidRDefault="001F5EA7" w:rsidP="00A801BF">
      <w:pPr>
        <w:rPr>
          <w:rFonts w:ascii="Arial" w:hAnsi="Arial" w:cs="Arial"/>
          <w:sz w:val="18"/>
        </w:rPr>
      </w:pPr>
      <w:r w:rsidRPr="001F5EA7">
        <w:rPr>
          <w:rFonts w:ascii="Arial" w:hAnsi="Arial" w:cs="Arial"/>
          <w:sz w:val="16"/>
        </w:rPr>
        <w:t>Abbreviation: TV/BV ratio=tumor volume in relation to breast volume</w:t>
      </w:r>
    </w:p>
    <w:p w:rsidR="00A801BF" w:rsidRDefault="00A801BF" w:rsidP="00A801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a</w:t>
      </w:r>
      <w:r>
        <w:rPr>
          <w:rFonts w:ascii="Arial" w:hAnsi="Arial" w:cs="Arial"/>
          <w:sz w:val="18"/>
        </w:rPr>
        <w:t xml:space="preserve"> </w:t>
      </w:r>
      <w:r w:rsidRPr="00117B02">
        <w:rPr>
          <w:rFonts w:ascii="Arial" w:hAnsi="Arial" w:cs="Arial"/>
          <w:sz w:val="18"/>
        </w:rPr>
        <w:t>Cosmetic result was evaluated by the Erasmus MC Panel questionnaire</w:t>
      </w:r>
      <w:r>
        <w:rPr>
          <w:rFonts w:ascii="Arial" w:hAnsi="Arial" w:cs="Arial"/>
          <w:sz w:val="18"/>
        </w:rPr>
        <w:t xml:space="preserve"> (see Online resource </w:t>
      </w:r>
      <w:r w:rsidR="001F5EA7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)</w:t>
      </w:r>
      <w:r w:rsidRPr="00117B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Higher</w:t>
      </w:r>
      <w:r w:rsidRPr="00117B02">
        <w:rPr>
          <w:rFonts w:ascii="Arial" w:hAnsi="Arial" w:cs="Arial"/>
          <w:sz w:val="18"/>
        </w:rPr>
        <w:t xml:space="preserve"> score means </w:t>
      </w:r>
      <w:r>
        <w:rPr>
          <w:rFonts w:ascii="Arial" w:hAnsi="Arial" w:cs="Arial"/>
          <w:sz w:val="18"/>
        </w:rPr>
        <w:t>reduced</w:t>
      </w:r>
      <w:r w:rsidRPr="00117B02">
        <w:rPr>
          <w:rFonts w:ascii="Arial" w:hAnsi="Arial" w:cs="Arial"/>
          <w:sz w:val="18"/>
        </w:rPr>
        <w:t xml:space="preserve"> cosmetic result.</w:t>
      </w:r>
    </w:p>
    <w:p w:rsidR="00A801BF" w:rsidRPr="00117B02" w:rsidRDefault="00A801BF" w:rsidP="00A801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b</w:t>
      </w:r>
      <w:r>
        <w:rPr>
          <w:rFonts w:ascii="Arial" w:hAnsi="Arial" w:cs="Arial"/>
          <w:sz w:val="18"/>
        </w:rPr>
        <w:t xml:space="preserve"> </w:t>
      </w:r>
      <w:r w:rsidRPr="00117B02">
        <w:rPr>
          <w:rFonts w:ascii="Arial" w:hAnsi="Arial" w:cs="Arial"/>
          <w:sz w:val="18"/>
        </w:rPr>
        <w:t>Multivariable analyses were performed by stepwise backward linear regression of all univariable predictors with P&lt;0.05. Only the significant results are shown.</w:t>
      </w:r>
    </w:p>
    <w:p w:rsidR="00A801BF" w:rsidRDefault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b/>
          <w:sz w:val="20"/>
          <w:szCs w:val="20"/>
          <w:u w:color="000000"/>
        </w:rPr>
      </w:pPr>
    </w:p>
    <w:p w:rsidR="00A801BF" w:rsidRDefault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b/>
          <w:sz w:val="20"/>
          <w:szCs w:val="20"/>
          <w:u w:color="00000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037646" w:rsidRPr="001A22A5" w:rsidRDefault="00A801BF" w:rsidP="00E3724F">
      <w:pPr>
        <w:pStyle w:val="Hoofdtekst"/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lastRenderedPageBreak/>
        <w:t>Online Resource 3</w:t>
      </w:r>
      <w:r w:rsidR="00037646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5A08F5" w:rsidRPr="00117B02">
        <w:rPr>
          <w:rFonts w:ascii="Arial" w:eastAsia="Arial" w:hAnsi="Arial" w:cs="Arial"/>
          <w:b/>
          <w:color w:val="auto"/>
          <w:sz w:val="20"/>
          <w:szCs w:val="20"/>
        </w:rPr>
        <w:t>Equations</w:t>
      </w:r>
    </w:p>
    <w:p w:rsidR="00037646" w:rsidRDefault="00037646" w:rsidP="00E3724F">
      <w:pPr>
        <w:pStyle w:val="Hoofdtekst"/>
        <w:spacing w:before="240" w:after="0" w:line="360" w:lineRule="auto"/>
        <w:rPr>
          <w:rFonts w:ascii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Prediction model result=probability of good cosmetic result after BCS (p(BCS,good/R)=1/(1+℮^(-0.157*TV/BV ratio-2.738*(lower lateral quadrant)-1.026*(upper medial quadrant)-2.886*(lower medial quadrant)-0.262*(central location)-2.658) )</m:t>
        </m:r>
      </m:oMath>
      <w:r>
        <w:rPr>
          <w:rFonts w:ascii="Arial"/>
          <w:sz w:val="20"/>
          <w:szCs w:val="20"/>
        </w:rPr>
        <w:t xml:space="preserve">                          </w:t>
      </w:r>
    </w:p>
    <w:p w:rsidR="00037646" w:rsidRPr="00117B02" w:rsidRDefault="00037646" w:rsidP="00E3724F">
      <w:pPr>
        <w:pStyle w:val="Hoofdtekst"/>
        <w:spacing w:after="0" w:line="360" w:lineRule="auto"/>
        <w:rPr>
          <w:rFonts w:ascii="Arial"/>
          <w:sz w:val="18"/>
          <w:szCs w:val="20"/>
        </w:rPr>
      </w:pPr>
      <w:r w:rsidRPr="00117B02">
        <w:rPr>
          <w:rFonts w:ascii="Arial"/>
          <w:b/>
          <w:iCs/>
          <w:sz w:val="18"/>
          <w:szCs w:val="20"/>
        </w:rPr>
        <w:t>Equation 1</w:t>
      </w:r>
    </w:p>
    <w:p w:rsidR="00037646" w:rsidRPr="00B33303" w:rsidRDefault="00037646" w:rsidP="00E3724F">
      <w:pPr>
        <w:pStyle w:val="Hoofdtekst"/>
        <w:spacing w:before="240" w:after="0" w:line="360" w:lineRule="auto"/>
        <w:jc w:val="both"/>
        <w:rPr>
          <w:rFonts w:asci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benefit of a true positive result as opposed to a false negative result is the benefit of identifying a patient who will have a good cosmetic result after BCS rather than undergoing mastectomy: </w:t>
      </w:r>
    </w:p>
    <w:p w:rsidR="00037646" w:rsidRPr="00B33303" w:rsidRDefault="00037646" w:rsidP="00E3724F">
      <w:pPr>
        <w:pStyle w:val="Hoofdtekst"/>
        <w:spacing w:after="0" w:line="360" w:lineRule="auto"/>
        <w:jc w:val="both"/>
        <w:rPr>
          <w:rFonts w:ascii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Benefit=QoL(BCS,good)-QoL(maste</m:t>
        </m:r>
        <m:r>
          <w:rPr>
            <w:rFonts w:ascii="Cambria Math" w:hAnsi="Cambria Math" w:cs="Arial"/>
            <w:sz w:val="20"/>
            <w:szCs w:val="20"/>
          </w:rPr>
          <m:t xml:space="preserve">ctomy±reconstruction)    </m:t>
        </m:r>
      </m:oMath>
      <w:r>
        <w:rPr>
          <w:rFonts w:ascii="Arial"/>
          <w:sz w:val="20"/>
          <w:szCs w:val="20"/>
        </w:rPr>
        <w:t xml:space="preserve"> </w:t>
      </w:r>
    </w:p>
    <w:p w:rsidR="00037646" w:rsidRPr="00117B02" w:rsidRDefault="00037646" w:rsidP="00E3724F">
      <w:pPr>
        <w:pStyle w:val="Hoofdtekst"/>
        <w:spacing w:line="360" w:lineRule="auto"/>
        <w:jc w:val="both"/>
        <w:rPr>
          <w:rFonts w:ascii="Arial" w:eastAsia="Arial" w:hAnsi="Arial" w:cs="Arial"/>
          <w:sz w:val="18"/>
          <w:szCs w:val="20"/>
        </w:rPr>
      </w:pPr>
      <w:r w:rsidRPr="00117B02">
        <w:rPr>
          <w:rFonts w:ascii="Arial"/>
          <w:b/>
          <w:sz w:val="18"/>
          <w:szCs w:val="20"/>
        </w:rPr>
        <w:t>Equation 2A</w:t>
      </w:r>
    </w:p>
    <w:p w:rsidR="00037646" w:rsidRPr="00B33303" w:rsidRDefault="00037646" w:rsidP="000376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harm of a false positive result as opposed to a true negative result is the harm caused by performing BCS with a poor cosmetic result rather than performing mastectomy: </w:t>
      </w:r>
      <m:oMath>
        <m:r>
          <w:rPr>
            <w:rFonts w:ascii="Cambria Math" w:hAnsi="Cambria Math" w:cs="Arial"/>
            <w:sz w:val="20"/>
            <w:szCs w:val="20"/>
          </w:rPr>
          <m:t>Harm=QoL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maste</m:t>
            </m:r>
            <m:r>
              <w:rPr>
                <w:rFonts w:ascii="Cambria Math" w:hAnsi="Cambria Math" w:cs="Arial"/>
                <w:sz w:val="20"/>
                <w:szCs w:val="20"/>
              </w:rPr>
              <m:t>ctomy±reconstruction</m:t>
            </m:r>
          </m:e>
        </m:d>
        <m:r>
          <w:rPr>
            <w:rFonts w:ascii="Cambria Math" w:hAnsi="Cambria Math" w:cs="Arial"/>
            <w:sz w:val="20"/>
            <w:szCs w:val="20"/>
          </w:rPr>
          <m:t>-QoL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BCS,bad</m:t>
            </m:r>
          </m:e>
        </m:d>
      </m:oMath>
      <w:r>
        <w:rPr>
          <w:rFonts w:ascii="Arial" w:hAnsi="Arial" w:cs="Arial"/>
          <w:sz w:val="20"/>
          <w:szCs w:val="20"/>
        </w:rPr>
        <w:t xml:space="preserve"> </w:t>
      </w:r>
    </w:p>
    <w:p w:rsidR="00037646" w:rsidRPr="00117B02" w:rsidRDefault="00037646" w:rsidP="00037646">
      <w:pPr>
        <w:pStyle w:val="Hoofdtekst"/>
        <w:spacing w:line="360" w:lineRule="auto"/>
        <w:jc w:val="both"/>
        <w:rPr>
          <w:rFonts w:ascii="Arial"/>
          <w:b/>
          <w:sz w:val="18"/>
          <w:szCs w:val="20"/>
        </w:rPr>
      </w:pPr>
      <w:r w:rsidRPr="00117B02">
        <w:rPr>
          <w:rFonts w:ascii="Arial"/>
          <w:b/>
          <w:sz w:val="18"/>
          <w:szCs w:val="20"/>
        </w:rPr>
        <w:t>Equation 2B</w:t>
      </w:r>
    </w:p>
    <w:p w:rsidR="00037646" w:rsidRPr="000B5002" w:rsidRDefault="00037646" w:rsidP="00037646">
      <w:pPr>
        <w:pStyle w:val="Hoofdtekst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B5002">
        <w:rPr>
          <w:rFonts w:ascii="Arial"/>
          <w:sz w:val="20"/>
          <w:szCs w:val="20"/>
        </w:rPr>
        <w:t>The odds</w:t>
      </w:r>
      <w:r>
        <w:rPr>
          <w:rFonts w:ascii="Arial"/>
          <w:sz w:val="20"/>
          <w:szCs w:val="20"/>
        </w:rPr>
        <w:t xml:space="preserve"> at the treatment threshold is given by:</w:t>
      </w:r>
    </w:p>
    <w:p w:rsidR="00037646" w:rsidRPr="00467194" w:rsidRDefault="00037646" w:rsidP="000376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odds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BCS,good/R</m:t>
            </m:r>
          </m:e>
        </m:d>
        <m:r>
          <w:rPr>
            <w:rFonts w:ascii="Cambria Math" w:hAnsi="Cambria Math" w:cs="Arial"/>
            <w:sz w:val="20"/>
            <w:szCs w:val="20"/>
          </w:rPr>
          <m:t>&gt;harm/benefit</m:t>
        </m:r>
      </m:oMath>
      <w:r>
        <w:rPr>
          <w:rFonts w:ascii="Arial" w:hAnsi="Arial" w:cs="Arial"/>
          <w:sz w:val="20"/>
          <w:szCs w:val="20"/>
        </w:rPr>
        <w:t xml:space="preserve"> </w:t>
      </w:r>
    </w:p>
    <w:p w:rsidR="00037646" w:rsidRDefault="00037646" w:rsidP="00037646">
      <w:pPr>
        <w:spacing w:line="360" w:lineRule="auto"/>
        <w:rPr>
          <w:rFonts w:ascii="Arial" w:hAnsi="Arial" w:cs="Arial"/>
          <w:sz w:val="20"/>
          <w:szCs w:val="20"/>
        </w:rPr>
      </w:pPr>
      <w:r w:rsidRPr="00685FAC">
        <w:rPr>
          <w:rFonts w:ascii="Arial" w:hAnsi="Arial" w:cs="Arial"/>
          <w:sz w:val="20"/>
          <w:szCs w:val="20"/>
        </w:rPr>
        <w:t>Thus,</w:t>
      </w:r>
      <w:r>
        <w:rPr>
          <w:rFonts w:ascii="Arial" w:hAnsi="Arial" w:cs="Arial"/>
          <w:sz w:val="20"/>
          <w:szCs w:val="20"/>
        </w:rPr>
        <w:t xml:space="preserve"> </w:t>
      </w:r>
      <w:r w:rsidRPr="00685FAC">
        <w:rPr>
          <w:rFonts w:ascii="Arial" w:hAnsi="Arial" w:cs="Arial"/>
          <w:sz w:val="20"/>
          <w:szCs w:val="20"/>
        </w:rPr>
        <w:t>the decision model suggests:</w:t>
      </w:r>
    </w:p>
    <w:p w:rsidR="00037646" w:rsidRPr="00B33303" w:rsidRDefault="00037646" w:rsidP="00037646">
      <w:pPr>
        <w:spacing w:line="360" w:lineRule="auto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Perform BCS if test result p(BCS,good/R)&gt;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Harm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Harm+Benefit</m:t>
            </m:r>
          </m:den>
        </m:f>
      </m:oMath>
      <w:r>
        <w:rPr>
          <w:rFonts w:ascii="Arial" w:hAnsi="Arial" w:cs="Arial"/>
          <w:szCs w:val="20"/>
        </w:rPr>
        <w:t xml:space="preserve"> </w:t>
      </w:r>
    </w:p>
    <w:p w:rsidR="00037646" w:rsidRDefault="00037646" w:rsidP="00037646">
      <w:pPr>
        <w:pStyle w:val="Hoofdtekst"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Substituting equations B.2A and B.2B in the above yields the optimal cutoff probability: </w:t>
      </w:r>
    </w:p>
    <w:p w:rsidR="00037646" w:rsidRPr="00B33303" w:rsidRDefault="00037646" w:rsidP="00037646">
      <w:pPr>
        <w:pStyle w:val="Hoofdtekst"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p(BCS,good/R)&gt;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QoL</m:t>
            </m:r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mastectomy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±reconstruction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-QoL</m:t>
            </m:r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BCS,poor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QoL</m:t>
            </m:r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BCS,good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-QoL</m:t>
            </m:r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BCS,poor</m:t>
                </m:r>
              </m:e>
            </m:d>
          </m:den>
        </m:f>
      </m:oMath>
      <w:r>
        <w:rPr>
          <w:rFonts w:ascii="Arial"/>
          <w:sz w:val="24"/>
          <w:szCs w:val="24"/>
        </w:rPr>
        <w:t xml:space="preserve"> </w:t>
      </w:r>
    </w:p>
    <w:p w:rsidR="00037646" w:rsidRPr="00117B02" w:rsidRDefault="00037646" w:rsidP="00037646">
      <w:pPr>
        <w:pStyle w:val="Hoofdtekst"/>
        <w:spacing w:after="0" w:line="360" w:lineRule="auto"/>
        <w:jc w:val="both"/>
        <w:rPr>
          <w:rFonts w:ascii="Arial"/>
          <w:b/>
          <w:sz w:val="18"/>
          <w:szCs w:val="20"/>
        </w:rPr>
      </w:pPr>
      <w:r w:rsidRPr="00117B02">
        <w:rPr>
          <w:rFonts w:ascii="Arial"/>
          <w:b/>
          <w:sz w:val="18"/>
          <w:szCs w:val="20"/>
        </w:rPr>
        <w:t>Equation 3A-C</w:t>
      </w:r>
    </w:p>
    <w:p w:rsidR="00037646" w:rsidRPr="008B7F77" w:rsidRDefault="00037646" w:rsidP="00037646">
      <w:pPr>
        <w:pStyle w:val="Hoofdtekst"/>
        <w:spacing w:before="240" w:after="0"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Revising Equation 1 with the updated intercept yields:</w:t>
      </w:r>
      <w:r>
        <w:rPr>
          <w:rFonts w:ascii="Arial" w:eastAsia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Prediction model result (R)=probability of good cosmetic result after BCS (p(BCS,good/R)=1/(1+℮^(-0.157*TV/BV ratio-2.738*(lower lateral quadrant)-1.026*(u</m:t>
        </m:r>
        <m:r>
          <w:rPr>
            <w:rFonts w:ascii="Cambria Math" w:hAnsi="Cambria Math" w:cs="Arial"/>
            <w:sz w:val="20"/>
            <w:szCs w:val="20"/>
          </w:rPr>
          <m:t>pper medial quadrant)-2.886*(lower medial quadrant)-0.262*(central location)-2.798) )</m:t>
        </m:r>
      </m:oMath>
      <w:r>
        <w:rPr>
          <w:sz w:val="20"/>
          <w:szCs w:val="20"/>
        </w:rPr>
        <w:t xml:space="preserve"> </w:t>
      </w:r>
    </w:p>
    <w:p w:rsidR="00037646" w:rsidRPr="00117B02" w:rsidRDefault="00037646" w:rsidP="00037646">
      <w:pPr>
        <w:pStyle w:val="Hoofdtekst"/>
        <w:spacing w:line="360" w:lineRule="auto"/>
        <w:rPr>
          <w:rFonts w:ascii="Arial"/>
          <w:b/>
          <w:iCs/>
          <w:sz w:val="18"/>
          <w:szCs w:val="20"/>
        </w:rPr>
      </w:pPr>
      <w:r w:rsidRPr="00117B02">
        <w:rPr>
          <w:rFonts w:ascii="Arial"/>
          <w:b/>
          <w:iCs/>
          <w:sz w:val="18"/>
          <w:szCs w:val="20"/>
        </w:rPr>
        <w:t>Equation 4</w:t>
      </w:r>
    </w:p>
    <w:p w:rsidR="00037646" w:rsidRDefault="00037646" w:rsidP="00037646">
      <w:pPr>
        <w:pStyle w:val="Hoofdtekst"/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0"/>
            <w:szCs w:val="20"/>
          </w:rPr>
          <m:t>Perform BCS if: p(BCS,good/R)&gt;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0.023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0.023+0.042</m:t>
            </m:r>
          </m:den>
        </m:f>
      </m:oMath>
      <w:r>
        <w:rPr>
          <w:rFonts w:ascii="Arial" w:hAnsi="Arial" w:cs="Arial"/>
          <w:sz w:val="24"/>
          <w:szCs w:val="20"/>
        </w:rPr>
        <w:t xml:space="preserve"> = </w:t>
      </w:r>
      <w:r w:rsidRPr="006238F9">
        <w:rPr>
          <w:rFonts w:ascii="Arial" w:hAnsi="Arial" w:cs="Arial"/>
          <w:sz w:val="20"/>
          <w:szCs w:val="20"/>
        </w:rPr>
        <w:t>0.358</w:t>
      </w:r>
    </w:p>
    <w:p w:rsidR="00037646" w:rsidRPr="00117B02" w:rsidRDefault="00037646" w:rsidP="00037646">
      <w:pPr>
        <w:rPr>
          <w:rFonts w:ascii="Arial"/>
          <w:b/>
          <w:sz w:val="18"/>
          <w:szCs w:val="20"/>
        </w:rPr>
      </w:pPr>
      <w:r w:rsidRPr="00117B02">
        <w:rPr>
          <w:rFonts w:ascii="Arial"/>
          <w:b/>
          <w:sz w:val="18"/>
          <w:szCs w:val="20"/>
        </w:rPr>
        <w:t>Equation 5</w:t>
      </w:r>
    </w:p>
    <w:p w:rsidR="000440FE" w:rsidRDefault="00044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/>
          <w:b/>
          <w:sz w:val="18"/>
          <w:szCs w:val="20"/>
        </w:rPr>
      </w:pPr>
      <w:r>
        <w:rPr>
          <w:rFonts w:ascii="Arial"/>
          <w:b/>
          <w:sz w:val="18"/>
          <w:szCs w:val="20"/>
        </w:rPr>
        <w:br w:type="page"/>
      </w:r>
    </w:p>
    <w:p w:rsidR="000440FE" w:rsidRDefault="00044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/>
          <w:b/>
          <w:sz w:val="18"/>
          <w:szCs w:val="20"/>
        </w:rPr>
        <w:sectPr w:rsidR="000440FE" w:rsidSect="000440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LightShading"/>
        <w:tblW w:w="12514" w:type="dxa"/>
        <w:tblInd w:w="57" w:type="dxa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1560"/>
        <w:gridCol w:w="2551"/>
        <w:gridCol w:w="465"/>
        <w:gridCol w:w="567"/>
        <w:gridCol w:w="567"/>
        <w:gridCol w:w="426"/>
        <w:gridCol w:w="425"/>
        <w:gridCol w:w="567"/>
        <w:gridCol w:w="465"/>
        <w:gridCol w:w="527"/>
        <w:gridCol w:w="567"/>
        <w:gridCol w:w="567"/>
        <w:gridCol w:w="1276"/>
        <w:gridCol w:w="905"/>
        <w:gridCol w:w="1079"/>
      </w:tblGrid>
      <w:tr w:rsidR="00384860" w:rsidRPr="00327AA7" w:rsidTr="0004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4" w:type="dxa"/>
            <w:gridSpan w:val="15"/>
            <w:noWrap/>
            <w:hideMark/>
          </w:tcPr>
          <w:p w:rsidR="00327AA7" w:rsidRPr="00327AA7" w:rsidRDefault="00A801BF" w:rsidP="00A80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bdr w:val="none" w:sz="0" w:space="0" w:color="auto"/>
              </w:rPr>
              <w:t>Online Resource 4</w:t>
            </w:r>
            <w:r w:rsidR="00327AA7" w:rsidRPr="00327AA7">
              <w:rPr>
                <w:rFonts w:ascii="Arial" w:eastAsia="Times New Roman" w:hAnsi="Arial" w:cs="Arial"/>
                <w:color w:val="000000"/>
                <w:sz w:val="20"/>
                <w:szCs w:val="22"/>
                <w:bdr w:val="none" w:sz="0" w:space="0" w:color="auto"/>
              </w:rPr>
              <w:t xml:space="preserve"> </w:t>
            </w:r>
            <w:r w:rsidR="00327AA7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EQ-5D utility calculations from the </w:t>
            </w:r>
            <w:r w:rsidR="00894E4A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source </w:t>
            </w:r>
            <w:proofErr w:type="spellStart"/>
            <w:r w:rsidR="00894E4A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>QoL</w:t>
            </w:r>
            <w:proofErr w:type="spellEnd"/>
            <w:r w:rsidR="00894E4A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 questionnaires </w:t>
            </w:r>
            <w:r w:rsidR="00327AA7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>(EORTC QLQ-C30 and FACT-G) from</w:t>
            </w:r>
            <w:r w:rsidR="00894E4A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 the</w:t>
            </w:r>
            <w:r w:rsidR="00327AA7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 different source populations (Vos et al., </w:t>
            </w:r>
            <w:proofErr w:type="spellStart"/>
            <w:r w:rsidR="00327AA7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>Jagsi</w:t>
            </w:r>
            <w:proofErr w:type="spellEnd"/>
            <w:r w:rsidR="00327AA7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 et al., and Freedman et al.)</w:t>
            </w:r>
            <w:r w:rsidR="00894E4A" w:rsidRPr="00A801BF">
              <w:rPr>
                <w:rFonts w:ascii="Arial" w:eastAsia="Times New Roman" w:hAnsi="Arial" w:cs="Arial"/>
                <w:b w:val="0"/>
                <w:color w:val="000000"/>
                <w:sz w:val="20"/>
                <w:szCs w:val="22"/>
                <w:bdr w:val="none" w:sz="0" w:space="0" w:color="auto"/>
              </w:rPr>
              <w:t xml:space="preserve"> for the current analysis</w:t>
            </w:r>
          </w:p>
        </w:tc>
      </w:tr>
      <w:tr w:rsidR="00894E4A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894E4A" w:rsidRPr="00327AA7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Source 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study </w:t>
            </w:r>
            <w:r w:rsidRPr="0038486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population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:rsidR="0066494F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 xml:space="preserve">Health state, </w:t>
            </w:r>
          </w:p>
          <w:p w:rsidR="00894E4A" w:rsidRPr="00327AA7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>number of patients</w:t>
            </w:r>
          </w:p>
        </w:tc>
        <w:tc>
          <w:tcPr>
            <w:tcW w:w="5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E4A" w:rsidRPr="00384860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 xml:space="preserve">Source </w:t>
            </w:r>
            <w:proofErr w:type="spellStart"/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>QoL</w:t>
            </w:r>
            <w:proofErr w:type="spellEnd"/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 xml:space="preserve"> values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</w:tcBorders>
            <w:noWrap/>
          </w:tcPr>
          <w:p w:rsidR="00894E4A" w:rsidRPr="00384860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>Utilities</w:t>
            </w:r>
          </w:p>
        </w:tc>
      </w:tr>
      <w:tr w:rsidR="00384860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C114B4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EORTC QLQ C-30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a</w:t>
            </w:r>
          </w:p>
        </w:tc>
        <w:tc>
          <w:tcPr>
            <w:tcW w:w="1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C114B4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FACT-G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EQ-5D before correction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894E4A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8486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EQ-5D difference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EQ-5D after correction</w:t>
            </w: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SF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CO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SL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PWB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FWB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EWB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Vos</w:t>
            </w:r>
            <w:r w:rsidR="00384860" w:rsidRPr="003848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et al.</w:t>
            </w:r>
            <w:r w:rsidR="00C114B4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Total, n=61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89.9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83.7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88.8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6.6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11.7</w:t>
            </w:r>
          </w:p>
        </w:tc>
        <w:tc>
          <w:tcPr>
            <w:tcW w:w="46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23.5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0.847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</w:tcBorders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Good, n=44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90.5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85.4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88.6</w:t>
            </w:r>
          </w:p>
        </w:tc>
        <w:tc>
          <w:tcPr>
            <w:tcW w:w="426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7.6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3.0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8.3</w:t>
            </w:r>
          </w:p>
        </w:tc>
        <w:tc>
          <w:tcPr>
            <w:tcW w:w="46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22.7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0.865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c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+0.018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e</w:t>
            </w:r>
          </w:p>
        </w:tc>
        <w:tc>
          <w:tcPr>
            <w:tcW w:w="1079" w:type="dxa"/>
            <w:tcBorders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</w:tcBorders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Poor, n=17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88.6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79.4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89.2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3.9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3.9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20.6</w:t>
            </w:r>
          </w:p>
        </w:tc>
        <w:tc>
          <w:tcPr>
            <w:tcW w:w="46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25.5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0.800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c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-0.047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f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proofErr w:type="spellStart"/>
            <w:r w:rsidRPr="00327A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Jagsi</w:t>
            </w:r>
            <w:proofErr w:type="spellEnd"/>
            <w:r w:rsidR="00384860" w:rsidRPr="003848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et al.</w:t>
            </w:r>
            <w:r w:rsidR="00C114B4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MST only, n=263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25.8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0.859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</w:tcBorders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MST + reconstruction, n=222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26.9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22.1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20.8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0.876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d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Freedman</w:t>
            </w:r>
            <w:r w:rsidR="00384860" w:rsidRPr="003848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et al.</w:t>
            </w:r>
            <w:r w:rsidR="00C114B4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11</w:t>
            </w:r>
            <w:r w:rsidR="00384860" w:rsidRPr="003848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Total, n=1050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>Current</w:t>
            </w:r>
            <w:r w:rsidR="00894E4A" w:rsidRPr="003848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  <w:t xml:space="preserve"> analysis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Good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0.908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g</w:t>
            </w: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BCS Poor</w:t>
            </w:r>
          </w:p>
        </w:tc>
        <w:tc>
          <w:tcPr>
            <w:tcW w:w="465" w:type="dxa"/>
            <w:tcBorders>
              <w:left w:val="single" w:sz="4" w:space="0" w:color="auto"/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0.843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h</w:t>
            </w:r>
          </w:p>
        </w:tc>
      </w:tr>
      <w:tr w:rsidR="0066494F" w:rsidRPr="00327AA7" w:rsidTr="00C114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MST (± reconstruction)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6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5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65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2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AA7" w:rsidRPr="00327AA7" w:rsidRDefault="00327AA7" w:rsidP="0066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noWrap/>
            <w:hideMark/>
          </w:tcPr>
          <w:p w:rsidR="00327AA7" w:rsidRPr="00327AA7" w:rsidRDefault="00327AA7" w:rsidP="00C11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</w:pPr>
            <w:r w:rsidRPr="00327AA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0.866</w:t>
            </w:r>
            <w:r w:rsidR="00C114B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vertAlign w:val="superscript"/>
              </w:rPr>
              <w:t>i</w:t>
            </w:r>
          </w:p>
        </w:tc>
      </w:tr>
    </w:tbl>
    <w:p w:rsidR="001F5EA7" w:rsidRPr="001F5EA7" w:rsidRDefault="001F5EA7" w:rsidP="00894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</w:pPr>
      <w:r w:rsidRPr="001F5EA7">
        <w:rPr>
          <w:rFonts w:ascii="Arial" w:eastAsia="Times New Roman" w:hAnsi="Arial" w:cs="Arial"/>
          <w:color w:val="000000"/>
          <w:sz w:val="16"/>
          <w:szCs w:val="22"/>
          <w:bdr w:val="none" w:sz="0" w:space="0" w:color="auto"/>
        </w:rPr>
        <w:t xml:space="preserve">Abbreviations: </w:t>
      </w:r>
      <w:proofErr w:type="spellStart"/>
      <w:r w:rsidRPr="001F5EA7">
        <w:rPr>
          <w:rFonts w:ascii="Arial" w:eastAsia="Times New Roman" w:hAnsi="Arial" w:cs="Arial"/>
          <w:color w:val="000000"/>
          <w:sz w:val="16"/>
          <w:szCs w:val="22"/>
          <w:bdr w:val="none" w:sz="0" w:space="0" w:color="auto"/>
        </w:rPr>
        <w:t>QoL</w:t>
      </w:r>
      <w:proofErr w:type="spellEnd"/>
      <w:r w:rsidRPr="001F5EA7">
        <w:rPr>
          <w:rFonts w:ascii="Arial" w:eastAsia="Times New Roman" w:hAnsi="Arial" w:cs="Arial"/>
          <w:color w:val="000000"/>
          <w:sz w:val="16"/>
          <w:szCs w:val="22"/>
          <w:bdr w:val="none" w:sz="0" w:space="0" w:color="auto"/>
        </w:rPr>
        <w:t>=quality of life, BCS=breast conserving surgery, MST=mastectomy</w:t>
      </w:r>
    </w:p>
    <w:p w:rsidR="00C114B4" w:rsidRDefault="00C114B4" w:rsidP="00894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  <w:vertAlign w:val="superscript"/>
        </w:rPr>
        <w:t xml:space="preserve">a </w:t>
      </w:r>
      <w:r w:rsidRPr="00894E4A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 xml:space="preserve">PF: Physical Functioning, EF: Emotional Functioning, SF: Social Functioning, CO: Constipation, DI: </w:t>
      </w:r>
      <w:proofErr w:type="spellStart"/>
      <w:r w:rsidRPr="00894E4A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>Diarrhoea</w:t>
      </w:r>
      <w:proofErr w:type="spellEnd"/>
      <w:r w:rsidRPr="00894E4A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>, PA: Pain, SL: Sleep</w:t>
      </w:r>
    </w:p>
    <w:p w:rsidR="00C114B4" w:rsidRPr="00C114B4" w:rsidRDefault="00C114B4" w:rsidP="00894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  <w:vertAlign w:val="superscript"/>
        </w:rPr>
      </w:pPr>
      <w:r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  <w:vertAlign w:val="superscript"/>
        </w:rPr>
        <w:t xml:space="preserve">b </w:t>
      </w:r>
      <w:r w:rsidRPr="00894E4A">
        <w:rPr>
          <w:rFonts w:ascii="Arial" w:eastAsia="Arial" w:hAnsi="Arial" w:cs="Arial"/>
          <w:sz w:val="18"/>
          <w:szCs w:val="20"/>
        </w:rPr>
        <w:t xml:space="preserve">PWB: Physical Well-Being, FWB: </w:t>
      </w:r>
      <w:proofErr w:type="spellStart"/>
      <w:r w:rsidRPr="00894E4A">
        <w:rPr>
          <w:rFonts w:ascii="Arial" w:eastAsia="Arial" w:hAnsi="Arial" w:cs="Arial"/>
          <w:sz w:val="18"/>
          <w:szCs w:val="20"/>
        </w:rPr>
        <w:t>Funtional</w:t>
      </w:r>
      <w:proofErr w:type="spellEnd"/>
      <w:r w:rsidRPr="00894E4A">
        <w:rPr>
          <w:rFonts w:ascii="Arial" w:eastAsia="Arial" w:hAnsi="Arial" w:cs="Arial"/>
          <w:sz w:val="18"/>
          <w:szCs w:val="20"/>
        </w:rPr>
        <w:t xml:space="preserve"> Well-Being, EWB:</w:t>
      </w:r>
      <w:r>
        <w:rPr>
          <w:rFonts w:ascii="Arial" w:eastAsia="Arial" w:hAnsi="Arial" w:cs="Arial"/>
          <w:sz w:val="18"/>
          <w:szCs w:val="20"/>
        </w:rPr>
        <w:t xml:space="preserve"> </w:t>
      </w:r>
      <w:r w:rsidRPr="00894E4A">
        <w:rPr>
          <w:rFonts w:ascii="Arial" w:eastAsia="Arial" w:hAnsi="Arial" w:cs="Arial"/>
          <w:sz w:val="18"/>
          <w:szCs w:val="20"/>
        </w:rPr>
        <w:t>Emotional Well-Being</w:t>
      </w:r>
    </w:p>
    <w:p w:rsidR="00894E4A" w:rsidRDefault="00C114B4" w:rsidP="00894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  <w:vertAlign w:val="superscript"/>
        </w:rPr>
        <w:t>c</w:t>
      </w:r>
      <w:r w:rsidR="00894E4A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 xml:space="preserve"> </w:t>
      </w:r>
      <w:r w:rsidR="00894E4A" w:rsidRPr="00327AA7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>EQ-5D utility=1-(0.8592777-0.0069693*PF-0.0087346*EF-</w:t>
      </w:r>
      <w:r w:rsidR="00894E4A" w:rsidRPr="00894E4A">
        <w:rPr>
          <w:rFonts w:ascii="Arial" w:eastAsia="Times New Roman" w:hAnsi="Arial" w:cs="Arial"/>
          <w:color w:val="000000"/>
          <w:sz w:val="18"/>
          <w:szCs w:val="22"/>
          <w:bdr w:val="none" w:sz="0" w:space="0" w:color="auto"/>
        </w:rPr>
        <w:t>0.0039935*SF+0.0000355*PF²+0.0000552*EF²+0.000029*SF²+0.0011453*CO+0.0039889*DI+0.0035614*PA-0.0003678*SL-0.000054*DI²+0.0000117*SL²</w:t>
      </w:r>
    </w:p>
    <w:p w:rsidR="00384860" w:rsidRDefault="00C114B4" w:rsidP="00384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  <w:vertAlign w:val="superscript"/>
        </w:rPr>
        <w:t>d</w:t>
      </w:r>
      <w:r w:rsidR="00894E4A">
        <w:rPr>
          <w:rFonts w:ascii="Arial" w:eastAsia="Arial" w:hAnsi="Arial" w:cs="Arial"/>
          <w:sz w:val="18"/>
          <w:szCs w:val="20"/>
        </w:rPr>
        <w:t xml:space="preserve"> </w:t>
      </w:r>
      <w:r w:rsidR="00D76BCA">
        <w:rPr>
          <w:rFonts w:ascii="Arial" w:eastAsia="Arial" w:hAnsi="Arial" w:cs="Arial"/>
          <w:sz w:val="18"/>
          <w:szCs w:val="20"/>
        </w:rPr>
        <w:t>EQ-5D</w:t>
      </w:r>
      <w:r w:rsidR="00894E4A" w:rsidRPr="00894E4A">
        <w:rPr>
          <w:rFonts w:ascii="Arial" w:eastAsia="Arial" w:hAnsi="Arial" w:cs="Arial"/>
          <w:sz w:val="18"/>
          <w:szCs w:val="20"/>
        </w:rPr>
        <w:t xml:space="preserve"> utility=0.391+(0.0</w:t>
      </w:r>
      <w:r w:rsidR="00894E4A">
        <w:rPr>
          <w:rFonts w:ascii="Arial" w:eastAsia="Arial" w:hAnsi="Arial" w:cs="Arial"/>
          <w:sz w:val="18"/>
          <w:szCs w:val="20"/>
        </w:rPr>
        <w:t xml:space="preserve">09*PWB)+(0.008*FWB)+(0.005*EWB) </w:t>
      </w:r>
      <w:r w:rsidR="00894E4A" w:rsidRPr="00894E4A">
        <w:rPr>
          <w:rFonts w:ascii="Arial" w:eastAsia="Arial" w:hAnsi="Arial" w:cs="Arial"/>
          <w:sz w:val="18"/>
          <w:szCs w:val="20"/>
        </w:rPr>
        <w:t xml:space="preserve">after rescaling </w:t>
      </w:r>
      <w:r w:rsidR="00894E4A">
        <w:rPr>
          <w:rFonts w:ascii="Arial" w:eastAsia="Arial" w:hAnsi="Arial" w:cs="Arial"/>
          <w:sz w:val="18"/>
          <w:szCs w:val="20"/>
        </w:rPr>
        <w:t xml:space="preserve">FACT-G values </w:t>
      </w:r>
      <w:r>
        <w:rPr>
          <w:rFonts w:ascii="Arial" w:eastAsia="Arial" w:hAnsi="Arial" w:cs="Arial"/>
          <w:sz w:val="18"/>
          <w:szCs w:val="20"/>
        </w:rPr>
        <w:t>on a 0-100 scale</w:t>
      </w:r>
    </w:p>
    <w:p w:rsidR="00384860" w:rsidRDefault="00C114B4" w:rsidP="00384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  <w:vertAlign w:val="superscript"/>
        </w:rPr>
        <w:t>e</w:t>
      </w:r>
      <w:r w:rsidR="00384860">
        <w:rPr>
          <w:rFonts w:ascii="Arial" w:eastAsia="Arial" w:hAnsi="Arial" w:cs="Arial"/>
          <w:sz w:val="18"/>
          <w:szCs w:val="20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20"/>
        </w:rPr>
        <w:t>0.865</w:t>
      </w:r>
      <w:r w:rsidR="00384860">
        <w:rPr>
          <w:rFonts w:ascii="Arial" w:eastAsia="Arial" w:hAnsi="Arial" w:cs="Arial"/>
          <w:sz w:val="18"/>
          <w:szCs w:val="20"/>
        </w:rPr>
        <w:t>(BCS Good)</w:t>
      </w:r>
      <w:r w:rsidR="00384860" w:rsidRPr="00384860">
        <w:rPr>
          <w:rFonts w:ascii="Arial" w:eastAsia="Arial" w:hAnsi="Arial" w:cs="Arial"/>
          <w:sz w:val="18"/>
          <w:szCs w:val="20"/>
        </w:rPr>
        <w:t>-0.847</w:t>
      </w:r>
      <w:r w:rsidR="00384860">
        <w:rPr>
          <w:rFonts w:ascii="Arial" w:eastAsia="Arial" w:hAnsi="Arial" w:cs="Arial"/>
          <w:sz w:val="18"/>
          <w:szCs w:val="20"/>
        </w:rPr>
        <w:t>(BCS Total)</w:t>
      </w:r>
      <w:r w:rsidR="00384860" w:rsidRPr="00384860">
        <w:rPr>
          <w:rFonts w:ascii="Arial" w:eastAsia="Arial" w:hAnsi="Arial" w:cs="Arial"/>
          <w:sz w:val="18"/>
          <w:szCs w:val="20"/>
        </w:rPr>
        <w:t>=</w:t>
      </w:r>
      <w:r w:rsidR="00384860">
        <w:rPr>
          <w:rFonts w:ascii="Arial" w:eastAsia="Arial" w:hAnsi="Arial" w:cs="Arial"/>
          <w:sz w:val="18"/>
          <w:szCs w:val="20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20"/>
        </w:rPr>
        <w:t>+0.018</w:t>
      </w:r>
    </w:p>
    <w:p w:rsidR="00384860" w:rsidRDefault="00C114B4" w:rsidP="00384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  <w:vertAlign w:val="superscript"/>
        </w:rPr>
        <w:t>f</w:t>
      </w:r>
      <w:r w:rsidR="00384860">
        <w:rPr>
          <w:rFonts w:ascii="Arial" w:eastAsia="Arial" w:hAnsi="Arial" w:cs="Arial"/>
          <w:sz w:val="18"/>
          <w:szCs w:val="20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20"/>
        </w:rPr>
        <w:t>0.800</w:t>
      </w:r>
      <w:r w:rsidR="00384860">
        <w:rPr>
          <w:rFonts w:ascii="Arial" w:eastAsia="Arial" w:hAnsi="Arial" w:cs="Arial"/>
          <w:sz w:val="18"/>
          <w:szCs w:val="20"/>
        </w:rPr>
        <w:t>(BCS Poor)</w:t>
      </w:r>
      <w:r w:rsidR="00384860" w:rsidRPr="00384860">
        <w:rPr>
          <w:rFonts w:ascii="Arial" w:eastAsia="Arial" w:hAnsi="Arial" w:cs="Arial"/>
          <w:sz w:val="18"/>
          <w:szCs w:val="20"/>
        </w:rPr>
        <w:t>-0.847</w:t>
      </w:r>
      <w:r w:rsidR="00384860">
        <w:rPr>
          <w:rFonts w:ascii="Arial" w:eastAsia="Arial" w:hAnsi="Arial" w:cs="Arial"/>
          <w:sz w:val="18"/>
          <w:szCs w:val="20"/>
        </w:rPr>
        <w:t>(BCS Total)</w:t>
      </w:r>
      <w:r w:rsidR="00384860" w:rsidRPr="00384860">
        <w:rPr>
          <w:rFonts w:ascii="Arial" w:eastAsia="Arial" w:hAnsi="Arial" w:cs="Arial"/>
          <w:sz w:val="18"/>
          <w:szCs w:val="20"/>
        </w:rPr>
        <w:t>=-0.047</w:t>
      </w:r>
      <w:r w:rsidR="00894E4A" w:rsidRPr="00894E4A">
        <w:rPr>
          <w:rFonts w:ascii="Arial" w:eastAsia="Arial" w:hAnsi="Arial" w:cs="Arial"/>
          <w:sz w:val="18"/>
          <w:szCs w:val="20"/>
        </w:rPr>
        <w:t xml:space="preserve"> </w:t>
      </w:r>
    </w:p>
    <w:p w:rsidR="00384860" w:rsidRDefault="00C114B4" w:rsidP="00384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g</w:t>
      </w:r>
      <w:r w:rsidR="0066494F">
        <w:rPr>
          <w:rFonts w:ascii="Arial" w:eastAsia="Arial" w:hAnsi="Arial" w:cs="Arial"/>
          <w:sz w:val="18"/>
          <w:szCs w:val="18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18"/>
        </w:rPr>
        <w:t>0.890(BCS Total from Freedman et al.</w:t>
      </w:r>
      <w:r w:rsidR="00384860">
        <w:rPr>
          <w:rFonts w:ascii="Arial" w:eastAsia="Arial" w:hAnsi="Arial" w:cs="Arial"/>
          <w:sz w:val="18"/>
          <w:szCs w:val="18"/>
        </w:rPr>
        <w:t>)</w:t>
      </w:r>
      <w:r w:rsidR="00384860" w:rsidRPr="00384860">
        <w:rPr>
          <w:rFonts w:ascii="Arial" w:eastAsia="Arial" w:hAnsi="Arial" w:cs="Arial"/>
          <w:sz w:val="18"/>
          <w:szCs w:val="18"/>
        </w:rPr>
        <w:t>+0.018</w:t>
      </w:r>
      <w:r w:rsidR="00384860">
        <w:rPr>
          <w:rFonts w:ascii="Arial" w:eastAsia="Arial" w:hAnsi="Arial" w:cs="Arial"/>
          <w:sz w:val="18"/>
          <w:szCs w:val="18"/>
        </w:rPr>
        <w:t>(BCS Good EQ-5D difference from Vos et al.)</w:t>
      </w:r>
      <w:r w:rsidR="00384860" w:rsidRPr="00384860">
        <w:rPr>
          <w:rFonts w:ascii="Arial" w:eastAsia="Arial" w:hAnsi="Arial" w:cs="Arial"/>
          <w:sz w:val="18"/>
          <w:szCs w:val="18"/>
        </w:rPr>
        <w:t>=0.908</w:t>
      </w:r>
    </w:p>
    <w:p w:rsidR="00384860" w:rsidRDefault="00C114B4" w:rsidP="00384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h</w:t>
      </w:r>
      <w:r w:rsidR="00384860">
        <w:rPr>
          <w:rFonts w:ascii="Arial" w:eastAsia="Arial" w:hAnsi="Arial" w:cs="Arial"/>
          <w:sz w:val="18"/>
          <w:szCs w:val="18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18"/>
        </w:rPr>
        <w:t>0.890(BCS Total from Freedman et al.)</w:t>
      </w:r>
      <w:r w:rsidR="00384860">
        <w:rPr>
          <w:rFonts w:ascii="Arial" w:eastAsia="Arial" w:hAnsi="Arial" w:cs="Arial"/>
          <w:sz w:val="18"/>
          <w:szCs w:val="18"/>
        </w:rPr>
        <w:t>-</w:t>
      </w:r>
      <w:r w:rsidR="00384860" w:rsidRPr="00384860">
        <w:rPr>
          <w:rFonts w:ascii="Arial" w:eastAsia="Arial" w:hAnsi="Arial" w:cs="Arial"/>
          <w:sz w:val="18"/>
          <w:szCs w:val="18"/>
        </w:rPr>
        <w:t>0.047</w:t>
      </w:r>
      <w:r w:rsidR="00384860">
        <w:rPr>
          <w:rFonts w:ascii="Arial" w:eastAsia="Arial" w:hAnsi="Arial" w:cs="Arial"/>
          <w:sz w:val="18"/>
          <w:szCs w:val="18"/>
        </w:rPr>
        <w:t>(BCS Poor EQ-5D difference from Vos et al.)</w:t>
      </w:r>
      <w:r w:rsidR="00384860" w:rsidRPr="00384860">
        <w:rPr>
          <w:rFonts w:ascii="Arial" w:eastAsia="Arial" w:hAnsi="Arial" w:cs="Arial"/>
          <w:sz w:val="18"/>
          <w:szCs w:val="18"/>
        </w:rPr>
        <w:t>=0.843</w:t>
      </w:r>
    </w:p>
    <w:p w:rsidR="000440FE" w:rsidRDefault="00C114B4" w:rsidP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i</w:t>
      </w:r>
      <w:r w:rsidR="00384860">
        <w:rPr>
          <w:rFonts w:ascii="Arial" w:eastAsia="Arial" w:hAnsi="Arial" w:cs="Arial"/>
          <w:sz w:val="18"/>
          <w:szCs w:val="18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18"/>
        </w:rPr>
        <w:t>reconstruction rate: 41.6%</w:t>
      </w:r>
      <w:r>
        <w:rPr>
          <w:rFonts w:ascii="Arial" w:eastAsia="Arial" w:hAnsi="Arial" w:cs="Arial"/>
          <w:sz w:val="18"/>
          <w:szCs w:val="18"/>
          <w:vertAlign w:val="superscript"/>
        </w:rPr>
        <w:t>9</w:t>
      </w:r>
      <w:r w:rsidR="00384860" w:rsidRPr="00384860">
        <w:rPr>
          <w:rFonts w:ascii="Arial" w:eastAsia="Arial" w:hAnsi="Arial" w:cs="Arial"/>
          <w:sz w:val="18"/>
          <w:szCs w:val="18"/>
        </w:rPr>
        <w:t xml:space="preserve"> &gt;</w:t>
      </w:r>
      <w:r w:rsidR="00384860">
        <w:rPr>
          <w:rFonts w:ascii="Arial" w:eastAsia="Arial" w:hAnsi="Arial" w:cs="Arial"/>
          <w:sz w:val="18"/>
          <w:szCs w:val="18"/>
        </w:rPr>
        <w:t xml:space="preserve"> </w:t>
      </w:r>
      <w:r w:rsidR="00384860" w:rsidRPr="00384860">
        <w:rPr>
          <w:rFonts w:ascii="Arial" w:eastAsia="Arial" w:hAnsi="Arial" w:cs="Arial"/>
          <w:sz w:val="18"/>
          <w:szCs w:val="18"/>
        </w:rPr>
        <w:t>(0.859*0.584)+(0.876*0.416)=0.866</w:t>
      </w:r>
    </w:p>
    <w:p w:rsidR="000440FE" w:rsidRDefault="00044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0440FE" w:rsidRDefault="000440FE" w:rsidP="00A80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rial" w:eastAsia="Arial" w:hAnsi="Arial" w:cs="Arial"/>
          <w:sz w:val="18"/>
          <w:szCs w:val="18"/>
        </w:rPr>
        <w:sectPr w:rsidR="000440FE" w:rsidSect="000440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549"/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851"/>
        <w:gridCol w:w="708"/>
        <w:gridCol w:w="709"/>
        <w:gridCol w:w="737"/>
        <w:gridCol w:w="681"/>
        <w:gridCol w:w="708"/>
        <w:gridCol w:w="709"/>
        <w:gridCol w:w="709"/>
        <w:gridCol w:w="709"/>
        <w:gridCol w:w="708"/>
        <w:gridCol w:w="709"/>
        <w:gridCol w:w="1109"/>
        <w:gridCol w:w="1613"/>
      </w:tblGrid>
      <w:tr w:rsidR="000440FE" w:rsidRPr="00394306" w:rsidTr="000440FE">
        <w:trPr>
          <w:trHeight w:val="434"/>
        </w:trPr>
        <w:tc>
          <w:tcPr>
            <w:tcW w:w="1066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440FE" w:rsidRPr="00A801BF" w:rsidRDefault="000440FE" w:rsidP="000440FE">
            <w:pPr>
              <w:pStyle w:val="Hoofdtek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Online Resource 5 </w:t>
            </w:r>
            <w:r w:rsidRPr="00A801BF">
              <w:rPr>
                <w:rFonts w:ascii="Arial" w:hAnsi="Arial" w:cs="Arial"/>
                <w:sz w:val="20"/>
                <w:szCs w:val="20"/>
                <w:lang w:val="en-GB"/>
              </w:rPr>
              <w:t>Probabilistic sensitivity analysis (PSA) and expected value of perfect information (EVPI) analysis</w:t>
            </w:r>
          </w:p>
        </w:tc>
      </w:tr>
      <w:tr w:rsidR="000440FE" w:rsidRPr="00394306" w:rsidTr="001F5EA7">
        <w:trPr>
          <w:trHeight w:val="43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860">
              <w:rPr>
                <w:rFonts w:ascii="Arial" w:hAnsi="Arial" w:cs="Arial"/>
                <w:sz w:val="18"/>
                <w:szCs w:val="18"/>
              </w:rPr>
              <w:t>Sample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1F5EA7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860">
              <w:rPr>
                <w:rFonts w:ascii="Arial" w:hAnsi="Arial" w:cs="Arial"/>
                <w:sz w:val="18"/>
                <w:szCs w:val="18"/>
              </w:rPr>
              <w:t>p(B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CS,</w:t>
            </w:r>
            <w:r w:rsidR="001F5EA7">
              <w:rPr>
                <w:rFonts w:ascii="Arial" w:hAnsi="Arial" w:cs="Arial"/>
                <w:sz w:val="18"/>
                <w:szCs w:val="18"/>
                <w:lang w:val="nl-NL"/>
              </w:rPr>
              <w:t>good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1F5EA7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U(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BCS,</w:t>
            </w:r>
            <w:r w:rsidR="001F5EA7">
              <w:rPr>
                <w:rFonts w:ascii="Arial" w:hAnsi="Arial" w:cs="Arial"/>
                <w:sz w:val="18"/>
                <w:szCs w:val="18"/>
                <w:lang w:val="nl-NL"/>
              </w:rPr>
              <w:t>good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1F5EA7" w:rsidRDefault="000440FE" w:rsidP="001F5EA7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p(BCS,</w:t>
            </w:r>
          </w:p>
          <w:p w:rsidR="000440FE" w:rsidRPr="00986566" w:rsidRDefault="001F5EA7" w:rsidP="001F5EA7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poor</w:t>
            </w:r>
            <w:proofErr w:type="spellEnd"/>
            <w:r w:rsidR="000440FE"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1F5EA7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U(BCS,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1F5EA7">
              <w:rPr>
                <w:rFonts w:ascii="Arial" w:hAnsi="Arial" w:cs="Arial"/>
                <w:sz w:val="18"/>
                <w:szCs w:val="18"/>
                <w:lang w:val="nl-NL"/>
              </w:rPr>
              <w:t>poor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Benefit(BCS)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p(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MST</w:t>
            </w: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only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(MST</w:t>
            </w: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only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p(MST</w:t>
            </w: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recon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U(MST</w:t>
            </w: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recon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Benefit(MST</w:t>
            </w:r>
            <w:r w:rsidRPr="0098656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Treatment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Advice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Opportunity </w:t>
            </w: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Loss</w:t>
            </w:r>
            <w:proofErr w:type="spellEnd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 xml:space="preserve"> in Utilities</w:t>
            </w:r>
          </w:p>
        </w:tc>
      </w:tr>
      <w:tr w:rsidR="000440FE" w:rsidRPr="00394306" w:rsidTr="001F5EA7">
        <w:trPr>
          <w:trHeight w:val="199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31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49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Mastectomy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0.001</w:t>
            </w:r>
          </w:p>
        </w:tc>
      </w:tr>
      <w:tr w:rsidR="000440FE" w:rsidRPr="00394306" w:rsidTr="001F5EA7">
        <w:trPr>
          <w:trHeight w:val="239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Mastectomy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0.100</w:t>
            </w:r>
          </w:p>
        </w:tc>
      </w:tr>
      <w:tr w:rsidR="000440FE" w:rsidRPr="00394306" w:rsidTr="001F5EA7">
        <w:trPr>
          <w:trHeight w:val="257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47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Mastectomy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0.053</w:t>
            </w:r>
          </w:p>
        </w:tc>
      </w:tr>
      <w:tr w:rsidR="000440FE" w:rsidRPr="00394306" w:rsidTr="001F5EA7">
        <w:trPr>
          <w:trHeight w:val="237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54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44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</w:rPr>
              <w:t>BCS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</w:rPr>
              <w:t>0.000</w:t>
            </w:r>
          </w:p>
        </w:tc>
      </w:tr>
      <w:tr w:rsidR="000440FE" w:rsidRPr="00394306" w:rsidTr="001F5EA7">
        <w:trPr>
          <w:trHeight w:val="24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Average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0.709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0.908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0.290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0.844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0.889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0.584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0.860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0.416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sz w:val="18"/>
                <w:szCs w:val="18"/>
                <w:lang w:val="nl-NL"/>
              </w:rPr>
              <w:t>0.866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0440FE" w:rsidRPr="00E1025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256">
              <w:rPr>
                <w:rFonts w:ascii="Arial" w:hAnsi="Arial" w:cs="Arial"/>
                <w:b/>
                <w:sz w:val="18"/>
                <w:szCs w:val="18"/>
              </w:rPr>
              <w:t>61.9% BCS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EVPI </w:t>
            </w:r>
            <w:r w:rsidRPr="0098656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E10256">
              <w:rPr>
                <w:rFonts w:ascii="Arial" w:hAnsi="Arial" w:cs="Arial"/>
                <w:b/>
                <w:sz w:val="18"/>
                <w:szCs w:val="18"/>
              </w:rPr>
              <w:t>0.020</w:t>
            </w:r>
          </w:p>
        </w:tc>
      </w:tr>
      <w:tr w:rsidR="000440FE" w:rsidRPr="00394306" w:rsidTr="001F5EA7">
        <w:trPr>
          <w:trHeight w:val="157"/>
        </w:trPr>
        <w:tc>
          <w:tcPr>
            <w:tcW w:w="85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SD</w:t>
            </w:r>
          </w:p>
        </w:tc>
        <w:tc>
          <w:tcPr>
            <w:tcW w:w="708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0.055</w:t>
            </w:r>
          </w:p>
        </w:tc>
        <w:tc>
          <w:tcPr>
            <w:tcW w:w="709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0.014</w:t>
            </w:r>
          </w:p>
        </w:tc>
        <w:tc>
          <w:tcPr>
            <w:tcW w:w="737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0.055</w:t>
            </w:r>
          </w:p>
        </w:tc>
        <w:tc>
          <w:tcPr>
            <w:tcW w:w="681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0.038</w:t>
            </w:r>
          </w:p>
        </w:tc>
        <w:tc>
          <w:tcPr>
            <w:tcW w:w="708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0.069</w:t>
            </w:r>
          </w:p>
        </w:tc>
        <w:tc>
          <w:tcPr>
            <w:tcW w:w="709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0.022</w:t>
            </w:r>
          </w:p>
        </w:tc>
        <w:tc>
          <w:tcPr>
            <w:tcW w:w="708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0.029</w:t>
            </w:r>
          </w:p>
        </w:tc>
        <w:tc>
          <w:tcPr>
            <w:tcW w:w="1109" w:type="dxa"/>
            <w:shd w:val="clear" w:color="auto" w:fill="auto"/>
          </w:tcPr>
          <w:p w:rsidR="000440FE" w:rsidRPr="00E1025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440FE" w:rsidRPr="00986566" w:rsidRDefault="000440FE" w:rsidP="000440FE">
            <w:pPr>
              <w:pStyle w:val="Hoofdteks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40FE" w:rsidRPr="00394306" w:rsidTr="00C114B4">
        <w:trPr>
          <w:trHeight w:val="157"/>
        </w:trPr>
        <w:tc>
          <w:tcPr>
            <w:tcW w:w="10660" w:type="dxa"/>
            <w:gridSpan w:val="13"/>
            <w:shd w:val="clear" w:color="auto" w:fill="auto"/>
          </w:tcPr>
          <w:p w:rsidR="001F5EA7" w:rsidRPr="001F5EA7" w:rsidRDefault="001F5EA7" w:rsidP="001F5EA7">
            <w:pPr>
              <w:pStyle w:val="Hoofdtekst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F5EA7">
              <w:rPr>
                <w:rFonts w:ascii="Arial" w:hAnsi="Arial" w:cs="Arial"/>
                <w:bCs/>
                <w:sz w:val="16"/>
                <w:szCs w:val="18"/>
              </w:rPr>
              <w:t xml:space="preserve">Abbreviations: BCS=breast conserving surgery, </w:t>
            </w:r>
            <w:proofErr w:type="spellStart"/>
            <w:r w:rsidRPr="001F5EA7">
              <w:rPr>
                <w:rFonts w:ascii="Arial" w:hAnsi="Arial" w:cs="Arial"/>
                <w:bCs/>
                <w:sz w:val="16"/>
                <w:szCs w:val="18"/>
              </w:rPr>
              <w:t>BCS,good</w:t>
            </w:r>
            <w:proofErr w:type="spellEnd"/>
            <w:r w:rsidRPr="001F5EA7">
              <w:rPr>
                <w:rFonts w:ascii="Arial" w:hAnsi="Arial" w:cs="Arial"/>
                <w:bCs/>
                <w:sz w:val="16"/>
                <w:szCs w:val="18"/>
              </w:rPr>
              <w:t xml:space="preserve">=breast conserving surgery with good cosmetic result, </w:t>
            </w:r>
            <w:proofErr w:type="spellStart"/>
            <w:r w:rsidRPr="001F5EA7">
              <w:rPr>
                <w:rFonts w:ascii="Arial" w:hAnsi="Arial" w:cs="Arial"/>
                <w:bCs/>
                <w:sz w:val="16"/>
                <w:szCs w:val="18"/>
              </w:rPr>
              <w:t>BCS,poor</w:t>
            </w:r>
            <w:proofErr w:type="spellEnd"/>
            <w:r w:rsidRPr="001F5EA7">
              <w:rPr>
                <w:rFonts w:ascii="Arial" w:hAnsi="Arial" w:cs="Arial"/>
                <w:bCs/>
                <w:sz w:val="16"/>
                <w:szCs w:val="18"/>
              </w:rPr>
              <w:t xml:space="preserve">= breast conserving surgery with poor cosmetic result, MST=mastectomy with or without breast reconstruction, MST only=mastectomy only, </w:t>
            </w:r>
            <w:proofErr w:type="spellStart"/>
            <w:r w:rsidRPr="001F5EA7">
              <w:rPr>
                <w:rFonts w:ascii="Arial" w:hAnsi="Arial" w:cs="Arial"/>
                <w:bCs/>
                <w:sz w:val="16"/>
                <w:szCs w:val="18"/>
              </w:rPr>
              <w:t>MST,recon</w:t>
            </w:r>
            <w:proofErr w:type="spellEnd"/>
            <w:r w:rsidRPr="001F5EA7">
              <w:rPr>
                <w:rFonts w:ascii="Arial" w:hAnsi="Arial" w:cs="Arial"/>
                <w:bCs/>
                <w:sz w:val="16"/>
                <w:szCs w:val="18"/>
              </w:rPr>
              <w:t>=mastectomy with breast reconstruction.</w:t>
            </w:r>
          </w:p>
          <w:p w:rsidR="000440FE" w:rsidRPr="00986566" w:rsidRDefault="000440FE" w:rsidP="001F5EA7">
            <w:pPr>
              <w:pStyle w:val="Hoofdteks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1BF">
              <w:rPr>
                <w:rFonts w:ascii="Arial" w:hAnsi="Arial" w:cs="Arial"/>
                <w:bCs/>
                <w:sz w:val="18"/>
                <w:szCs w:val="18"/>
              </w:rPr>
              <w:t xml:space="preserve">From the total of 10,000 randomly drawn values from the beta distributions of each parameter, the first 10 simulated samples are shown in columns 2-5 and 7-10. In column 6 and 11, the net benefit in utility from respectively BCS and </w:t>
            </w:r>
            <w:r w:rsidR="001F5EA7">
              <w:rPr>
                <w:rFonts w:ascii="Arial" w:hAnsi="Arial" w:cs="Arial"/>
                <w:bCs/>
                <w:sz w:val="18"/>
                <w:szCs w:val="18"/>
              </w:rPr>
              <w:t>MST</w:t>
            </w:r>
            <w:r w:rsidRPr="00A801BF">
              <w:rPr>
                <w:rFonts w:ascii="Arial" w:hAnsi="Arial" w:cs="Arial"/>
                <w:bCs/>
                <w:sz w:val="18"/>
                <w:szCs w:val="18"/>
              </w:rPr>
              <w:t xml:space="preserve"> are shown. The treatment with the largest benefit is the treatment that is advised in that simulated sample (column 12). On average BCS is advised in 61.9% of the 10,000 samples. Ideally, in the presence of large amounts of data, no parameter uncertainty exists (perfect information) whereby on average 0.02 utility could be won per patient.</w:t>
            </w:r>
          </w:p>
        </w:tc>
      </w:tr>
    </w:tbl>
    <w:p w:rsidR="00117B02" w:rsidRDefault="00117B02" w:rsidP="00044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sectPr w:rsidR="00117B02" w:rsidSect="000440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46"/>
    <w:rsid w:val="00037646"/>
    <w:rsid w:val="000440FE"/>
    <w:rsid w:val="00117B02"/>
    <w:rsid w:val="001F5EA7"/>
    <w:rsid w:val="002541ED"/>
    <w:rsid w:val="002D7E49"/>
    <w:rsid w:val="00302F24"/>
    <w:rsid w:val="00327AA7"/>
    <w:rsid w:val="00376A7A"/>
    <w:rsid w:val="00384860"/>
    <w:rsid w:val="004B7095"/>
    <w:rsid w:val="00505B30"/>
    <w:rsid w:val="00562814"/>
    <w:rsid w:val="005A08F5"/>
    <w:rsid w:val="005C09CA"/>
    <w:rsid w:val="005D4A90"/>
    <w:rsid w:val="00606C7C"/>
    <w:rsid w:val="006565A9"/>
    <w:rsid w:val="0066494F"/>
    <w:rsid w:val="00894E4A"/>
    <w:rsid w:val="00A05EC1"/>
    <w:rsid w:val="00A801BF"/>
    <w:rsid w:val="00A947BC"/>
    <w:rsid w:val="00BE6D64"/>
    <w:rsid w:val="00C114B4"/>
    <w:rsid w:val="00D76BCA"/>
    <w:rsid w:val="00DC67B7"/>
    <w:rsid w:val="00E3724F"/>
    <w:rsid w:val="00E57F22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7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link w:val="HoofdtekstChar"/>
    <w:rsid w:val="00037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oofdtekstChar">
    <w:name w:val="Hoofdtekst Char"/>
    <w:link w:val="Hoofdtekst"/>
    <w:rsid w:val="0003764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F5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LightShading">
    <w:name w:val="Light Shading"/>
    <w:basedOn w:val="TableNormal"/>
    <w:uiPriority w:val="60"/>
    <w:rsid w:val="00327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7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link w:val="HoofdtekstChar"/>
    <w:rsid w:val="00037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oofdtekstChar">
    <w:name w:val="Hoofdtekst Char"/>
    <w:link w:val="Hoofdtekst"/>
    <w:rsid w:val="0003764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F5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LightShading">
    <w:name w:val="Light Shading"/>
    <w:basedOn w:val="TableNormal"/>
    <w:uiPriority w:val="60"/>
    <w:rsid w:val="00327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Vos</dc:creator>
  <cp:lastModifiedBy>E.L. Vos</cp:lastModifiedBy>
  <cp:revision>3</cp:revision>
  <dcterms:created xsi:type="dcterms:W3CDTF">2017-08-07T08:20:00Z</dcterms:created>
  <dcterms:modified xsi:type="dcterms:W3CDTF">2017-08-07T13:45:00Z</dcterms:modified>
</cp:coreProperties>
</file>