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E" w:rsidRDefault="007E783F">
      <w:proofErr w:type="gramStart"/>
      <w:r w:rsidRPr="007E783F">
        <w:rPr>
          <w:b/>
        </w:rPr>
        <w:t>Appendix 3</w:t>
      </w:r>
      <w:r>
        <w:t>.</w:t>
      </w:r>
      <w:proofErr w:type="gramEnd"/>
      <w:r>
        <w:t xml:space="preserve"> Cases and controls included in this review</w:t>
      </w:r>
    </w:p>
    <w:p w:rsidR="007E783F" w:rsidRDefault="007E783F">
      <w:r>
        <w:t>Cases</w:t>
      </w:r>
    </w:p>
    <w:tbl>
      <w:tblPr>
        <w:tblW w:w="12394" w:type="dxa"/>
        <w:tblInd w:w="10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984"/>
        <w:gridCol w:w="6667"/>
        <w:gridCol w:w="2178"/>
      </w:tblGrid>
      <w:tr w:rsidR="006F415B" w:rsidRPr="007E783F" w:rsidTr="006F415B">
        <w:trPr>
          <w:trHeight w:val="529"/>
        </w:trPr>
        <w:tc>
          <w:tcPr>
            <w:tcW w:w="1565" w:type="dxa"/>
            <w:shd w:val="clear" w:color="000000" w:fill="BFBFBF"/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984" w:type="dxa"/>
            <w:shd w:val="clear" w:color="000000" w:fill="BFBFBF"/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First Author</w:t>
            </w:r>
          </w:p>
        </w:tc>
        <w:tc>
          <w:tcPr>
            <w:tcW w:w="6667" w:type="dxa"/>
            <w:shd w:val="clear" w:color="000000" w:fill="BFBFBF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RCT title</w:t>
            </w:r>
          </w:p>
        </w:tc>
        <w:tc>
          <w:tcPr>
            <w:tcW w:w="2178" w:type="dxa"/>
            <w:shd w:val="clear" w:color="000000" w:fill="BFBFBF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Journal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2013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Sandercock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Effect of thrombolysis with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alteplase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within 6 h of acute ischaemic stroke on long-term outcomes (the third International Stroke Trial [IST-3]): 18-month follow-up of a randomised controlled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Lancet Neurology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Dragoo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Platelet-Rich Plasma as a Treatment for Patellar Tendinopathy A Double-Blind, Randomized Controlled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Sports Medicine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Fayed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Changes in Metabolites after Treatment with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Memantine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Fibromyalgia. A Double-Blind Randomized Controlled Trial with Magnetic Resonance Spectroscopy with a 6-month Follow-up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CNS Neuro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Ther</w:t>
            </w:r>
            <w:proofErr w:type="spellEnd"/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Troeger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Quality of Life of Patients With Advanced Pancreatic Cancer During Treatment With Mistletoe A randomized controlled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Deutsches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Ärzteblatt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International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Troeger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Additional Therapy with a Mistletoe Product during Adjuvant Chemotherapy of Breast Cancer Patients Improves Quality of Life: An Open Randomized Clinical Pilot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Evidence-Based Complementary and Alternative Medicine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Efficace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Randomized Phase III Trial of Retinoic Acid and Arsenic Trioxide Versus Retinoic Acid and Chemotherapy in Patients With Acute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Promyelocytic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Leukemia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: Health-Related Quality-of-Life Outcomes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Eijzenga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Effect of Routine Assessment of Specific Psychosocial Problems on Personalized Communication,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Counselors'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Awareness, and Distress Levels in Cancer Genetic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Practice: A Randomized Controlled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Ford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Docetaxel versus active symptom control for refractory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oesophagogastric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adenocarcinoma (COUGAR-02): an open-label, phase 3 randomised controlled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Lancet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6F4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Dimopoulos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Factors that influence health-related quality of life in newly diagnosed patients with multiple myeloma aged &gt;= 65 years treated with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melphalan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prednisone and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lenalidomide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followed by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lenalidomide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maintenance: results of a randomized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Leukemia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&amp; Lymphoma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Luciano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Effectiveness of group acceptance and commitment therapy for fibromyalgia: A 6-month randomized controlled trial (EFFIGACT study)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Pain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Olivan-Blazquez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Efficacy of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memantine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the treatment of fibromyalgia: A double-blind, randomised, controlled trial with 6-month follow-up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Pain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Muggia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Brief group cognitive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behavioral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treatment in addition to prescriptive diet versus standard care in obese and overweight patients. A randomized controlled trial.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e-SPEN Journal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Jensen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Multidisciplinary rehabilitation can impact on health-related quality of life outcome in radical cystectomy: secondary reported outcome of a randomized controlled trial.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Multidiscip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Healthc</w:t>
            </w:r>
            <w:proofErr w:type="spellEnd"/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Coens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Health-related quality-of-life results from PALETTE: A randomized, double-blind, phase 3 trial of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pazopanib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versus placebo in patients with soft tissue sarcoma whose disease has progressed during or after prior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chemotherapya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European Organization for research and treatment of cancer soft tissue and bone sarcoma group global network study (EORTC 62072)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Cancer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Eijzenga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Routine assessment of psychosocial problems after cancer genetic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: results from a randomized controlled trial (pages 419–427)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Clinical Genetics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Dirven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The impact of bevacizumab on health-related quality of life in patients treated for recurrent glioblastoma: Results of the randomised controlled phase 2 BELOB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European Journal of Cancer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Bochner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Comparing Open Radical Cystectomy and Robot-assisted Laparoscopic Radical Cystectomy: A Randomized Clinical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European Urology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Brittenden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Clinical effectiveness and cost-effectiveness of foam sclerotherapy,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endovenous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laser ablation and surgery for varicose veins: results from the Comparison of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LAser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, Surgery and foam Sclerotherapy (CLASS) randomised controlled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 Technology Assessment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Simpson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 feasibility randomised controlled trial of a motivational interviewing-based intervention for weight loss maintenance in adults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 Technology Assessment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Wagner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Anxiety and Health-Related Quality of Life Among Patients With Low-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Tumor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Burden Non-Hodgkin Lymphoma Randomly Assigned to Two Different Rituximab Dosing Regimens: Results From ECOG Trial E4402 (RESORT)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Brundage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Impact of Radiotherapy When Added to Androgen-Deprivation Therapy for Locally Advanced Prostate Cancer: Long-Term Quality-of-Life Outcomes From the NCIC CTG PR3/MRC PR07 Randomized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6F4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Sletten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Conservative treatment has comparable outcome with bouquet pinning of little finger metacarpal neck fractures: a multicentre randomized controlled study of 85 patients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Hand Surgery - European Volume</w:t>
            </w:r>
          </w:p>
        </w:tc>
      </w:tr>
      <w:tr w:rsidR="006F415B" w:rsidRPr="007E783F" w:rsidTr="006F415B">
        <w:trPr>
          <w:trHeight w:val="36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Eijzenga</w:t>
            </w:r>
            <w:proofErr w:type="spellEnd"/>
          </w:p>
        </w:tc>
        <w:tc>
          <w:tcPr>
            <w:tcW w:w="6667" w:type="dxa"/>
            <w:shd w:val="clear" w:color="auto" w:fill="auto"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Effect of Routine Assessment of Specific Psychosocial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Problems on Personalized Communication,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Counselors’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Awareness, and Distress Levels in Cancer Genetic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Practice: A Randomized Controlled Trial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JCO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Vermandere</w:t>
            </w:r>
            <w:proofErr w:type="spellEnd"/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Spiritual history taking in palliative home care: A cluster randomized controlled trial.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Palliat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Med.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Biddle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 Randomised Controlled Trial to Reduce Sedentary Time in Young Adults at Risk of Type 2 Diabetes Mellitus: Project STAND (Sedentary Time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ANd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Diabetes).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PLoS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One.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van Beers 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Clear instructions reduce missing responses in pen-and-paper collected Patient Reported Outcome Measures: A randomized study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Nederlands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Tijdschrift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voor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Orthopaedie</w:t>
            </w:r>
            <w:proofErr w:type="spellEnd"/>
          </w:p>
        </w:tc>
      </w:tr>
    </w:tbl>
    <w:p w:rsidR="007E783F" w:rsidRDefault="007E783F"/>
    <w:p w:rsidR="007E783F" w:rsidRDefault="007E783F">
      <w:r>
        <w:t>Controls</w:t>
      </w:r>
    </w:p>
    <w:tbl>
      <w:tblPr>
        <w:tblW w:w="12338" w:type="dxa"/>
        <w:tblInd w:w="103" w:type="dxa"/>
        <w:tblLook w:val="04A0" w:firstRow="1" w:lastRow="0" w:firstColumn="1" w:lastColumn="0" w:noHBand="0" w:noVBand="1"/>
      </w:tblPr>
      <w:tblGrid>
        <w:gridCol w:w="1565"/>
        <w:gridCol w:w="1984"/>
        <w:gridCol w:w="6662"/>
        <w:gridCol w:w="2127"/>
      </w:tblGrid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415B" w:rsidRPr="007E783F" w:rsidRDefault="006F415B" w:rsidP="00851C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First Author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RCT title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Journal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Else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Quality of life in chronic lymphocytic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leukemia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: 5- year results from the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multicenter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randomized LRF CLL4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Leukemia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&amp; Lymphoma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Bottomley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An International Phase 3 Trial in Head and Neck Cancer: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Quality of Life and Symptom Results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Cancer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Pirl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Depression, survival, and epidermal growth factor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receptor genotypes in patients with metastatic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non-small cell lung cancer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Palliative and Supportive Care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Abrams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Arthroscopic Repair of Full-Thickness Rotator Cuff Tears With and Without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Acromioplasty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: Randomized Prospective Trial With 2-Year Follow-up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Sports Medicine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Shariff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Platelet-Rich Plasma Injections for the Treatment of Hamstring Injuries: A Randomized Controlled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Sports Medicine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Wang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Recurrent Stroke was Associated with Poor Quality of Life in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Patients with Transient Ischemic Attack or Minor Stroke: Finding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from the CHANCE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CNS Neuro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Ther</w:t>
            </w:r>
            <w:proofErr w:type="spellEnd"/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Losada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-Camacho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Impact of a pharmaceutical care programme on health-related quality of life among women with epilepsy: a randomised controlled trial (IPHIWWE study)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HQLO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Bartl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The Treatment of Displaced Intra-articular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Distal Radius Fractures in Elderly Patients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 Randomized Multi-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center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Study (ORCHID) of Open Reduction and Volar Locking Plate Fixation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Versus Closed Reduction and Cast Immobilization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Deutsches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Ärzteblatt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International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Blackhall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Patient-Reported Outcomes and Quality of Life in PROFILE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1007: A Randomized Trial of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Crizotinib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Compared with Chemotherapy in Previously Treated Patients with ALK-Positive Advanced Non–Small-Cell Lung Cancer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Thorac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Oncol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Goyder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 randomised controlled trial and cost-effectiveness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evaluation of ‘booster’ interventions to sustain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increases in physical activity in middle-aged adults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in deprived urban neighbourhoods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 Technology Assessment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Maunsell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Quality of Life in MAP.3 (Mammary Prevention 3): A Randomized, Placebo-Controlled Trial Evaluating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Exemestane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Prevention of Breast Cancer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Schwartz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Randomized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Noninferiority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Trial of Telephone Versus In-Person Genetic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Hereditary Breast and Ovarian Cancer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Fizazi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Eff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ect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of enzalutamide on time to fi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rst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skeletal-related event,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pain, and quality of life in men with castration-resistant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prostate cancer: results from the randomised, phase 3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AFFIRM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Lancet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Broderick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Nurse practitioners can effectively deliver pain coping skills training to osteoarthritis patients with chronic pain: A randomized, controlled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Pain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Vos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Spinal cord stimulation in patients with painful diabetic neuropathy: A 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multicentre randomized clinical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Pain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Knutsen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Effect of vitamin D on musculoskeletal pain and headache: A randomized, double-blind, placebo-controlled trial among adult ethnic minorities in Norway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Pain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Young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glycemic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load of meals, cognition and mood in middle and older aged adults with differences in glucose tolerance: A randomized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e-SPEN journal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The effect of oncologists' exercise recommendations on the level of exercise and quality of life in survivors of breast and colorectal cancer: A randomized controlled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Cancer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Albert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Can Genetics Predict Response to Complex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Behavioral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Interventions? Evidence from a Genetic Analysis of the Fast Track Randomized Control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Policy Analysis and Management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Scalfani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Short- and Long-Term Quality of Life and Bowel Function in Patients With MRI-Defined, High-Risk, Locally Advanced Rectal Cancer Treated With an Intensified Neoadjuvant Strategy in the Randomized Phase 2 EXPERT-C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Int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 Radiation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Oncol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Biol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Phys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Biyle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 related quality of life of women in TEACH,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a randomised placebo controlled adjuvant trial of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lapatinib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in early stage Human Epidermal Growth Factor Receptor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(HER2) overexpressing breast cancer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European Journal of Cancer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Novelloa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Analysis of patient-reported outcomes from the LUME-Lung 1 trial: A randomised, double-blind, placebo-controlled, Phase III study of second-line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nintedanib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patients with advanced non-small cell lung cancer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European Journal of Cancer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Sonksen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Prospective, Randomized, Multinational Study of Prostatic Urethral Lift Versus Transurethral Resection of the Prostate: 12-month Results from the BPH6 Study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European Urology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Khan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 Single-centre Early Phase Randomised Controlled Three-arm Trial of Open, Robotic, and Laparoscopic Radical Cystectomy (CORAL)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European Urology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Charalambous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Progressive Muscle Relaxation and Guided Imagery as Anxiety Reducing Interventions in Breast and Prostate Cancer Patients Undergoing Chemotherapy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Evidence-Based Complementary and Alternative Medicine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McCall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Yoga for Health-Related Quality of Life in Adult Cancer: A Randomized Controlled Feasibility Study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Evidence-Based Complementary and Alternative Medicine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 randomised controlled trial of Outpatient versus inpatient Polyp Treatment (OPT) for abnormal uterine bleeding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 Technology Assessment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Ussher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The London Exercise And Pregnant smokers (LEAP) trial: a randomised controlled trial of physical activity for smoking cessation in pregnancy with an economic evaluation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 Technology Assessment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Sandercock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Clots in Legs Or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sTockings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after Stroke (CLOTS) 3 trial: a randomised controlled trial to determine whether or not intermittent pneumatic compression reduces the risk of post-stroke deep vein thrombosis and to estimate its cost-effectiveness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 Technology Assessment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Taphoorn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Health-Related Quality of Life in a Randomized Phase III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Study of Bevacizumab,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Temozolomide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, and Radiotherapy in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Newly Diagnosed Glioblastoma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Borget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Quality of Life and Cost-Effectiveness Assessment of Radioiodine Ablation Strategies in Patients With Thyroid Cancer: Results From the Randomized Phase III ESTIMABL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Bakitas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Early Versus Delayed Initiation of Concurrent Palliative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Oncology Care: Patient Outcomes in the ENABLE III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Randomized Controlled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Ghadjar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Acute Toxicity and Quality of Life After Dose-Intensified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Salvage Radiation Therapy for Biochemically Recurrent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Prostate Cancer After Prostatectomy: First Results of the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Randomized Trial SAKK 09/10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Trenkwalder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Prolonged-release oxycodone–naloxone for treatment of severe pain in patients with Parkinson’s disease (PANDA): a double-blind, randomised, placebo-controlled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Lancet Neurology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Barzel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Home-based constraint-induced movement therapy for patients with upper limb dysfunction after stroke (HOMECIMT): a cluster-randomised, controlled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Lancet Neurology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851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Grob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Comparison of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dabrafenib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trametinib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combination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therapy with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vemurafenib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monotherapy on health-related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quality of life in patients with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unresectable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metastatic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cutaneous BRAF Val600-mutation-positive melanoma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(COMBI-v): results of a phase 3, open-label,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randomised trial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Lancet Oncology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Lovel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Long-Term Safety, Efficacy, and Quality of Life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in Patients With Juvenile Idiopathic Arthritis Treated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With Intravenous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Abatacept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Up to Seven Years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ARTHRITIS &amp; RHEUMATOLOGY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Dinat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Randomized, Double-Blind, Crossover Trial of Amitriptyline for Analgesia in Painful </w:t>
            </w: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HIVAssociated</w:t>
            </w:r>
            <w:proofErr w:type="spellEnd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Sensory Neuropathy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PLOS One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Simmons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Impact of Community Based Peer Support in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Type 2 Diabetes: A Cluster Randomised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Controlled Trial of Individual and/or Group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Approaches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PLOS One</w:t>
            </w:r>
          </w:p>
        </w:tc>
      </w:tr>
      <w:tr w:rsidR="006F415B" w:rsidRPr="007E783F" w:rsidTr="006F415B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15B" w:rsidRPr="007E783F" w:rsidRDefault="006F415B" w:rsidP="00394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Ehrmann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Comparison of the Efficacy of a Diabetes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Education Programme for Type 1 Diabetes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(PRIMAS) in a Randomised Controlled Trial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Setting and the Effectiveness in a Routine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Care Setting: Results of a Comparative</w:t>
            </w: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Effectiveness Study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5B" w:rsidRPr="007E783F" w:rsidRDefault="006F415B" w:rsidP="007E7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E783F">
              <w:rPr>
                <w:rFonts w:ascii="Calibri" w:eastAsia="Times New Roman" w:hAnsi="Calibri" w:cs="Times New Roman"/>
                <w:color w:val="000000"/>
                <w:lang w:eastAsia="en-AU"/>
              </w:rPr>
              <w:t>PLOS One</w:t>
            </w:r>
          </w:p>
        </w:tc>
      </w:tr>
    </w:tbl>
    <w:p w:rsidR="007E783F" w:rsidRDefault="007E783F"/>
    <w:p w:rsidR="007E783F" w:rsidRDefault="007E783F"/>
    <w:sectPr w:rsidR="007E783F" w:rsidSect="007E7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3"/>
    <w:rsid w:val="00541FE3"/>
    <w:rsid w:val="006F415B"/>
    <w:rsid w:val="007E783F"/>
    <w:rsid w:val="00851C70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Mercieca</dc:creator>
  <cp:keywords/>
  <dc:description/>
  <cp:lastModifiedBy>Rebecca Mercieca</cp:lastModifiedBy>
  <cp:revision>3</cp:revision>
  <dcterms:created xsi:type="dcterms:W3CDTF">2016-06-25T05:43:00Z</dcterms:created>
  <dcterms:modified xsi:type="dcterms:W3CDTF">2016-08-11T12:11:00Z</dcterms:modified>
</cp:coreProperties>
</file>