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5E043" w14:textId="2DC8B786" w:rsidR="00AB01F9" w:rsidRDefault="00AB01F9" w:rsidP="00F1526C">
      <w:pPr>
        <w:spacing w:line="480" w:lineRule="auto"/>
      </w:pPr>
      <w:r w:rsidRPr="00AB01F9">
        <w:rPr>
          <w:b/>
          <w:bCs/>
        </w:rPr>
        <w:t>Article Title:</w:t>
      </w:r>
      <w:r>
        <w:t xml:space="preserve"> </w:t>
      </w:r>
      <w:bookmarkStart w:id="0" w:name="_Hlk135128513"/>
      <w:r w:rsidR="00F1526C">
        <w:t>A Longitudinal Mediation Analysis of the Interrelations among Exclusionary Immigration Policy, Ethnic Identity, and Self-Esteem of Latinx Early Adolescents</w:t>
      </w:r>
      <w:bookmarkEnd w:id="0"/>
    </w:p>
    <w:p w14:paraId="156292FD" w14:textId="5C1FF445" w:rsidR="00AB01F9" w:rsidRPr="00AB01F9" w:rsidRDefault="00AB01F9" w:rsidP="005D2826">
      <w:pPr>
        <w:spacing w:line="480" w:lineRule="auto"/>
      </w:pPr>
      <w:r w:rsidRPr="00AB01F9">
        <w:rPr>
          <w:b/>
          <w:bCs/>
        </w:rPr>
        <w:t xml:space="preserve">Journal Name: </w:t>
      </w:r>
      <w:r>
        <w:t>Journal of Youth and Adolescence</w:t>
      </w:r>
    </w:p>
    <w:p w14:paraId="1A7A81C2" w14:textId="2F0FEFDB" w:rsidR="00AB01F9" w:rsidRPr="00AB01F9" w:rsidRDefault="00AB01F9" w:rsidP="005D2826">
      <w:pPr>
        <w:spacing w:line="480" w:lineRule="auto"/>
      </w:pPr>
      <w:r w:rsidRPr="00AB01F9">
        <w:rPr>
          <w:b/>
          <w:bCs/>
        </w:rPr>
        <w:t>Author Names:</w:t>
      </w:r>
      <w:r>
        <w:rPr>
          <w:b/>
          <w:bCs/>
        </w:rPr>
        <w:t xml:space="preserve"> </w:t>
      </w:r>
      <w:r w:rsidRPr="00AB01F9">
        <w:t>Madonna P. Cadiz, LCSW; Carlos Santos, PhD; Tristan D. Tibbe</w:t>
      </w:r>
    </w:p>
    <w:p w14:paraId="2D0C78A1" w14:textId="457D598D" w:rsidR="00140597" w:rsidRDefault="00AB01F9" w:rsidP="005D2826">
      <w:pPr>
        <w:spacing w:line="480" w:lineRule="auto"/>
      </w:pPr>
      <w:r w:rsidRPr="00AB01F9">
        <w:rPr>
          <w:b/>
          <w:bCs/>
        </w:rPr>
        <w:t>Affiliation and Email Address of the Corresponding Author:</w:t>
      </w:r>
      <w:r>
        <w:rPr>
          <w:b/>
          <w:bCs/>
        </w:rPr>
        <w:t xml:space="preserve"> </w:t>
      </w:r>
      <w:r w:rsidR="001F5B5A">
        <w:t>UCLA;</w:t>
      </w:r>
      <w:r w:rsidR="00140597">
        <w:t xml:space="preserve"> </w:t>
      </w:r>
      <w:hyperlink r:id="rId7" w:history="1">
        <w:r w:rsidR="00140597" w:rsidRPr="00DE18A6">
          <w:rPr>
            <w:rStyle w:val="Hyperlink"/>
          </w:rPr>
          <w:t>madonna.cadiz@gmail.com</w:t>
        </w:r>
      </w:hyperlink>
    </w:p>
    <w:p w14:paraId="3517C5F8" w14:textId="544B29FB" w:rsidR="005B3773" w:rsidRDefault="00923E6B" w:rsidP="005D2826">
      <w:pPr>
        <w:spacing w:line="480" w:lineRule="auto"/>
        <w:jc w:val="center"/>
        <w:rPr>
          <w:b/>
          <w:bCs/>
        </w:rPr>
      </w:pPr>
      <w:r w:rsidRPr="00923E6B">
        <w:rPr>
          <w:b/>
          <w:bCs/>
        </w:rPr>
        <w:t>Supplementary Material</w:t>
      </w:r>
    </w:p>
    <w:p w14:paraId="3EC5134C" w14:textId="77777777" w:rsidR="00011098" w:rsidRDefault="00011098" w:rsidP="00011098">
      <w:pPr>
        <w:spacing w:line="480" w:lineRule="auto"/>
        <w:rPr>
          <w:b/>
          <w:bCs/>
        </w:rPr>
      </w:pPr>
      <w:r>
        <w:rPr>
          <w:b/>
          <w:bCs/>
        </w:rPr>
        <w:t xml:space="preserve">Factor Analyses for </w:t>
      </w:r>
      <w:r>
        <w:rPr>
          <w:b/>
          <w:bCs/>
          <w:i/>
          <w:iCs/>
        </w:rPr>
        <w:t xml:space="preserve">Affected by SB 1070 </w:t>
      </w:r>
      <w:r>
        <w:rPr>
          <w:b/>
          <w:bCs/>
        </w:rPr>
        <w:t>Measure</w:t>
      </w:r>
    </w:p>
    <w:p w14:paraId="6296659D" w14:textId="4EDC3AD0" w:rsidR="00011098" w:rsidRDefault="00011098" w:rsidP="00011098">
      <w:pPr>
        <w:spacing w:line="480" w:lineRule="auto"/>
      </w:pPr>
      <w:r>
        <w:t xml:space="preserve">To increase confidence in the psychometric properties of the </w:t>
      </w:r>
      <w:r>
        <w:rPr>
          <w:i/>
          <w:iCs/>
        </w:rPr>
        <w:t>Affected by SB 1070</w:t>
      </w:r>
      <w:r>
        <w:t xml:space="preserve"> measure, we subjected the items to an exploratory factor analysis (EFA) using principal axis factoring and an oblique rotation method, direct </w:t>
      </w:r>
      <w:proofErr w:type="spellStart"/>
      <w:r>
        <w:t>oblimin</w:t>
      </w:r>
      <w:proofErr w:type="spellEnd"/>
      <w:r>
        <w:t xml:space="preserve"> and listwise deletion (</w:t>
      </w:r>
      <w:proofErr w:type="spellStart"/>
      <w:r>
        <w:t>Tabachnick</w:t>
      </w:r>
      <w:proofErr w:type="spellEnd"/>
      <w:r>
        <w:t xml:space="preserve"> &amp; </w:t>
      </w:r>
      <w:proofErr w:type="spellStart"/>
      <w:r>
        <w:t>Fidell</w:t>
      </w:r>
      <w:proofErr w:type="spellEnd"/>
      <w:r>
        <w:t>, 2007). Approximately 50% (</w:t>
      </w:r>
      <w:r w:rsidRPr="6F55C3F7">
        <w:rPr>
          <w:i/>
          <w:iCs/>
        </w:rPr>
        <w:t xml:space="preserve">n </w:t>
      </w:r>
      <w:r>
        <w:t xml:space="preserve">= 448) of the complete cases in our sample were randomly selected for the EFA, and the Kaiser-Meyer-Olkin (KMO) value was 0.83, which is well above the recommended minimum of 0.6 to demonstrate sampling adequacy. Bartlett’s test of sphericity resulted in a value of </w:t>
      </w:r>
      <w:r w:rsidRPr="6F55C3F7">
        <w:rPr>
          <w:rFonts w:ascii="Cambria Math" w:hAnsi="Cambria Math" w:cs="Cambria Math"/>
        </w:rPr>
        <w:t>𝑋</w:t>
      </w:r>
      <w:r w:rsidRPr="6F55C3F7">
        <w:rPr>
          <w:vertAlign w:val="superscript"/>
        </w:rPr>
        <w:t>2</w:t>
      </w:r>
      <w:r>
        <w:t xml:space="preserve"> = 951.84 (</w:t>
      </w:r>
      <w:r w:rsidRPr="6F55C3F7">
        <w:rPr>
          <w:i/>
          <w:iCs/>
        </w:rPr>
        <w:t xml:space="preserve">p </w:t>
      </w:r>
      <w:r>
        <w:t>&lt; .001), indicating the data were appropriate for factor analyses.</w:t>
      </w:r>
      <w:r w:rsidRPr="6F55C3F7">
        <w:rPr>
          <w:rFonts w:ascii="Cambria Math" w:hAnsi="Cambria Math"/>
        </w:rPr>
        <w:t xml:space="preserve"> </w:t>
      </w:r>
      <w:r>
        <w:t>Results from this EFA indicated a clear one factor structure, with factor loadings ranging from .80 to .90, and with the single factor accounting for 80.58% of the variance. Communality values ranged from .64 to .81, indicating the one-factor solution adequately explains enough of the total variation found in the data (Child, 2006). We then conducted confirmatory factor analysis (CFA) with the remaining half of the sample (</w:t>
      </w:r>
      <w:r w:rsidRPr="6F55C3F7">
        <w:rPr>
          <w:i/>
          <w:iCs/>
        </w:rPr>
        <w:t xml:space="preserve">n </w:t>
      </w:r>
      <w:r>
        <w:t xml:space="preserve">= 443), with a KMO value of 0.82 and a Bartlett’s test of sphericity value of </w:t>
      </w:r>
      <w:r w:rsidRPr="6F55C3F7">
        <w:rPr>
          <w:rFonts w:ascii="Cambria Math" w:hAnsi="Cambria Math" w:cs="Cambria Math"/>
        </w:rPr>
        <w:t>𝑋</w:t>
      </w:r>
      <w:r w:rsidRPr="6F55C3F7">
        <w:rPr>
          <w:vertAlign w:val="superscript"/>
        </w:rPr>
        <w:t>2</w:t>
      </w:r>
      <w:r>
        <w:t xml:space="preserve"> = 863.30 (</w:t>
      </w:r>
      <w:r w:rsidRPr="6F55C3F7">
        <w:rPr>
          <w:i/>
          <w:iCs/>
        </w:rPr>
        <w:t xml:space="preserve">p </w:t>
      </w:r>
      <w:r>
        <w:t xml:space="preserve">&lt; .001) indicating the data were conducive to factor analysis. Results showed that the one-factor solution accounted for 81.84% of the variance. With factor loadings ranging from .84 to .92 and communality values </w:t>
      </w:r>
      <w:r>
        <w:lastRenderedPageBreak/>
        <w:t>ranging from .71 to .84, results from the CFA confirm the one-factor structure of the SB 1070 measure.</w:t>
      </w:r>
    </w:p>
    <w:p w14:paraId="71C90D22" w14:textId="77777777" w:rsidR="00593970" w:rsidRDefault="00593970" w:rsidP="00011098">
      <w:pPr>
        <w:spacing w:line="480" w:lineRule="auto"/>
      </w:pPr>
    </w:p>
    <w:p w14:paraId="004788D5" w14:textId="7F7B4ADD" w:rsidR="00011098" w:rsidRPr="00011098" w:rsidRDefault="00011098" w:rsidP="00011098">
      <w:pPr>
        <w:spacing w:line="480" w:lineRule="auto"/>
        <w:rPr>
          <w:b/>
          <w:bCs/>
        </w:rPr>
      </w:pPr>
      <w:r w:rsidRPr="00011098">
        <w:rPr>
          <w:b/>
          <w:bCs/>
        </w:rPr>
        <w:t>Sensitivity Analysis 1</w:t>
      </w:r>
      <w:r w:rsidR="002D6820">
        <w:rPr>
          <w:b/>
          <w:bCs/>
        </w:rPr>
        <w:t xml:space="preserve"> (Demographic Variables Excluded)</w:t>
      </w:r>
    </w:p>
    <w:p w14:paraId="4C26446E" w14:textId="17E05351" w:rsidR="006C5B41" w:rsidRPr="00011098" w:rsidRDefault="006C5B41" w:rsidP="005D2826">
      <w:pPr>
        <w:spacing w:line="480" w:lineRule="auto"/>
        <w:rPr>
          <w:b/>
          <w:bCs/>
          <w:i/>
          <w:iCs/>
        </w:rPr>
      </w:pPr>
      <w:r w:rsidRPr="00011098">
        <w:rPr>
          <w:b/>
          <w:bCs/>
          <w:i/>
          <w:iCs/>
        </w:rPr>
        <w:t>Missing Data Rates</w:t>
      </w:r>
    </w:p>
    <w:tbl>
      <w:tblPr>
        <w:tblStyle w:val="TableGrid"/>
        <w:tblpPr w:leftFromText="180" w:rightFromText="180" w:vertAnchor="text" w:horzAnchor="margin" w:tblpY="1237"/>
        <w:tblW w:w="0" w:type="auto"/>
        <w:tblLook w:val="04A0" w:firstRow="1" w:lastRow="0" w:firstColumn="1" w:lastColumn="0" w:noHBand="0" w:noVBand="1"/>
      </w:tblPr>
      <w:tblGrid>
        <w:gridCol w:w="1559"/>
        <w:gridCol w:w="1559"/>
        <w:gridCol w:w="1558"/>
        <w:gridCol w:w="1444"/>
        <w:gridCol w:w="1672"/>
        <w:gridCol w:w="1558"/>
      </w:tblGrid>
      <w:tr w:rsidR="00222F94" w:rsidRPr="00222F94" w14:paraId="59B1AA02" w14:textId="77777777" w:rsidTr="00161ABD">
        <w:tc>
          <w:tcPr>
            <w:tcW w:w="1559" w:type="dxa"/>
            <w:tcBorders>
              <w:top w:val="nil"/>
              <w:left w:val="nil"/>
            </w:tcBorders>
          </w:tcPr>
          <w:p w14:paraId="66B34A0D" w14:textId="77777777" w:rsidR="00222F94" w:rsidRPr="00222F94" w:rsidRDefault="00222F94" w:rsidP="00436908"/>
        </w:tc>
        <w:tc>
          <w:tcPr>
            <w:tcW w:w="1559" w:type="dxa"/>
          </w:tcPr>
          <w:p w14:paraId="072CBC6D" w14:textId="4973FF11" w:rsidR="00222F94" w:rsidRPr="00222F94" w:rsidRDefault="00222F94" w:rsidP="00161ABD">
            <w:pPr>
              <w:jc w:val="center"/>
            </w:pPr>
            <w:r w:rsidRPr="00222F94">
              <w:t>Affected by SB</w:t>
            </w:r>
            <w:r w:rsidR="006F38F7">
              <w:t xml:space="preserve"> </w:t>
            </w:r>
            <w:r w:rsidRPr="00222F94">
              <w:t>1070</w:t>
            </w:r>
          </w:p>
        </w:tc>
        <w:tc>
          <w:tcPr>
            <w:tcW w:w="1558" w:type="dxa"/>
          </w:tcPr>
          <w:p w14:paraId="5A45640F" w14:textId="77777777" w:rsidR="00222F94" w:rsidRPr="00222F94" w:rsidRDefault="00222F94" w:rsidP="00161ABD">
            <w:pPr>
              <w:jc w:val="center"/>
            </w:pPr>
            <w:r w:rsidRPr="00222F94">
              <w:t>Self-Esteem</w:t>
            </w:r>
          </w:p>
        </w:tc>
        <w:tc>
          <w:tcPr>
            <w:tcW w:w="1444" w:type="dxa"/>
          </w:tcPr>
          <w:p w14:paraId="331C71B6" w14:textId="373976B8" w:rsidR="00222F94" w:rsidRPr="00222F94" w:rsidRDefault="00222F94" w:rsidP="00161ABD">
            <w:pPr>
              <w:jc w:val="center"/>
            </w:pPr>
            <w:r w:rsidRPr="00222F94">
              <w:t>Ethnic Centrality</w:t>
            </w:r>
          </w:p>
        </w:tc>
        <w:tc>
          <w:tcPr>
            <w:tcW w:w="1672" w:type="dxa"/>
          </w:tcPr>
          <w:p w14:paraId="654319EC" w14:textId="0818F1B7" w:rsidR="00222F94" w:rsidRPr="00222F94" w:rsidRDefault="006F38F7" w:rsidP="00161ABD">
            <w:pPr>
              <w:jc w:val="center"/>
            </w:pPr>
            <w:r>
              <w:t>E</w:t>
            </w:r>
            <w:r w:rsidR="00161ABD">
              <w:t>thnic</w:t>
            </w:r>
            <w:r w:rsidR="00222F94" w:rsidRPr="00222F94">
              <w:t xml:space="preserve"> Private Regard</w:t>
            </w:r>
          </w:p>
        </w:tc>
        <w:tc>
          <w:tcPr>
            <w:tcW w:w="1558" w:type="dxa"/>
          </w:tcPr>
          <w:p w14:paraId="5A466586" w14:textId="41C62614" w:rsidR="00222F94" w:rsidRPr="00222F94" w:rsidRDefault="006F38F7" w:rsidP="00161ABD">
            <w:pPr>
              <w:jc w:val="center"/>
            </w:pPr>
            <w:r>
              <w:t>E</w:t>
            </w:r>
            <w:r w:rsidR="00161ABD">
              <w:t xml:space="preserve">thnic </w:t>
            </w:r>
            <w:r w:rsidR="00222F94" w:rsidRPr="00222F94">
              <w:t>Public Regard</w:t>
            </w:r>
          </w:p>
        </w:tc>
      </w:tr>
      <w:tr w:rsidR="006F38F7" w:rsidRPr="00222F94" w14:paraId="0C62095A" w14:textId="77777777" w:rsidTr="00161ABD">
        <w:tc>
          <w:tcPr>
            <w:tcW w:w="1559" w:type="dxa"/>
          </w:tcPr>
          <w:p w14:paraId="462EF3BA" w14:textId="67EB2DA0" w:rsidR="006F38F7" w:rsidRDefault="006F38F7" w:rsidP="00436908">
            <w:r>
              <w:t>Auxiliary Var</w:t>
            </w:r>
          </w:p>
        </w:tc>
        <w:tc>
          <w:tcPr>
            <w:tcW w:w="1559" w:type="dxa"/>
          </w:tcPr>
          <w:p w14:paraId="1249044F" w14:textId="3C4A944E" w:rsidR="006F38F7" w:rsidRPr="00222F94" w:rsidRDefault="006F38F7" w:rsidP="00161ABD">
            <w:pPr>
              <w:jc w:val="center"/>
            </w:pPr>
            <w:r>
              <w:t>NA</w:t>
            </w:r>
          </w:p>
        </w:tc>
        <w:tc>
          <w:tcPr>
            <w:tcW w:w="1558" w:type="dxa"/>
          </w:tcPr>
          <w:p w14:paraId="16370718" w14:textId="56A58139" w:rsidR="006F38F7" w:rsidRPr="00222F94" w:rsidRDefault="001E782E" w:rsidP="00161ABD">
            <w:pPr>
              <w:jc w:val="center"/>
            </w:pPr>
            <w:r>
              <w:t>42%</w:t>
            </w:r>
          </w:p>
        </w:tc>
        <w:tc>
          <w:tcPr>
            <w:tcW w:w="1444" w:type="dxa"/>
          </w:tcPr>
          <w:p w14:paraId="5817E6A1" w14:textId="421473F6" w:rsidR="006F38F7" w:rsidRPr="00222F94" w:rsidRDefault="001E782E" w:rsidP="00161ABD">
            <w:pPr>
              <w:jc w:val="center"/>
            </w:pPr>
            <w:r>
              <w:t>42%</w:t>
            </w:r>
          </w:p>
        </w:tc>
        <w:tc>
          <w:tcPr>
            <w:tcW w:w="1672" w:type="dxa"/>
          </w:tcPr>
          <w:p w14:paraId="27F79032" w14:textId="6B9DFD4E" w:rsidR="006F38F7" w:rsidRPr="00222F94" w:rsidRDefault="001E782E" w:rsidP="00161ABD">
            <w:pPr>
              <w:jc w:val="center"/>
            </w:pPr>
            <w:r>
              <w:t>42%</w:t>
            </w:r>
          </w:p>
        </w:tc>
        <w:tc>
          <w:tcPr>
            <w:tcW w:w="1558" w:type="dxa"/>
          </w:tcPr>
          <w:p w14:paraId="5F63A29B" w14:textId="34079B1D" w:rsidR="006F38F7" w:rsidRPr="00222F94" w:rsidRDefault="001E782E" w:rsidP="00161ABD">
            <w:pPr>
              <w:jc w:val="center"/>
            </w:pPr>
            <w:r>
              <w:t>42%</w:t>
            </w:r>
          </w:p>
        </w:tc>
      </w:tr>
      <w:tr w:rsidR="00222F94" w:rsidRPr="00222F94" w14:paraId="21CEDF8D" w14:textId="77777777" w:rsidTr="00161ABD">
        <w:tc>
          <w:tcPr>
            <w:tcW w:w="1559" w:type="dxa"/>
          </w:tcPr>
          <w:p w14:paraId="0FD3F0E3" w14:textId="6A8454D4" w:rsidR="00222F94" w:rsidRPr="00222F94" w:rsidRDefault="006F38F7" w:rsidP="00436908">
            <w:r>
              <w:t>Wave</w:t>
            </w:r>
            <w:r w:rsidR="00222F94" w:rsidRPr="00222F94">
              <w:t xml:space="preserve"> 1</w:t>
            </w:r>
          </w:p>
        </w:tc>
        <w:tc>
          <w:tcPr>
            <w:tcW w:w="1559" w:type="dxa"/>
          </w:tcPr>
          <w:p w14:paraId="50CCE5FE" w14:textId="77777777" w:rsidR="00222F94" w:rsidRPr="00222F94" w:rsidRDefault="00222F94" w:rsidP="00161ABD">
            <w:pPr>
              <w:jc w:val="center"/>
            </w:pPr>
            <w:r w:rsidRPr="00222F94">
              <w:t>34%</w:t>
            </w:r>
          </w:p>
        </w:tc>
        <w:tc>
          <w:tcPr>
            <w:tcW w:w="1558" w:type="dxa"/>
          </w:tcPr>
          <w:p w14:paraId="5FA01D95" w14:textId="77777777" w:rsidR="00222F94" w:rsidRPr="00222F94" w:rsidRDefault="00222F94" w:rsidP="00161ABD">
            <w:pPr>
              <w:jc w:val="center"/>
            </w:pPr>
            <w:r w:rsidRPr="00222F94">
              <w:t>29%</w:t>
            </w:r>
          </w:p>
        </w:tc>
        <w:tc>
          <w:tcPr>
            <w:tcW w:w="1444" w:type="dxa"/>
          </w:tcPr>
          <w:p w14:paraId="1C9BD4F1" w14:textId="77777777" w:rsidR="00222F94" w:rsidRPr="00222F94" w:rsidRDefault="00222F94" w:rsidP="00161ABD">
            <w:pPr>
              <w:jc w:val="center"/>
            </w:pPr>
            <w:r w:rsidRPr="00222F94">
              <w:t>28%</w:t>
            </w:r>
          </w:p>
        </w:tc>
        <w:tc>
          <w:tcPr>
            <w:tcW w:w="1672" w:type="dxa"/>
          </w:tcPr>
          <w:p w14:paraId="2144E60A" w14:textId="77777777" w:rsidR="00222F94" w:rsidRPr="00222F94" w:rsidRDefault="00222F94" w:rsidP="00161ABD">
            <w:pPr>
              <w:jc w:val="center"/>
            </w:pPr>
            <w:r w:rsidRPr="00222F94">
              <w:t>28%</w:t>
            </w:r>
          </w:p>
        </w:tc>
        <w:tc>
          <w:tcPr>
            <w:tcW w:w="1558" w:type="dxa"/>
          </w:tcPr>
          <w:p w14:paraId="6B39C1DB" w14:textId="77777777" w:rsidR="00222F94" w:rsidRPr="00222F94" w:rsidRDefault="00222F94" w:rsidP="00161ABD">
            <w:pPr>
              <w:jc w:val="center"/>
            </w:pPr>
            <w:r w:rsidRPr="00222F94">
              <w:t>28%</w:t>
            </w:r>
          </w:p>
        </w:tc>
      </w:tr>
      <w:tr w:rsidR="00222F94" w:rsidRPr="00222F94" w14:paraId="12A9D104" w14:textId="77777777" w:rsidTr="00161ABD">
        <w:tc>
          <w:tcPr>
            <w:tcW w:w="1559" w:type="dxa"/>
          </w:tcPr>
          <w:p w14:paraId="1862FAC4" w14:textId="6E7EA792" w:rsidR="00222F94" w:rsidRPr="00222F94" w:rsidRDefault="006F38F7" w:rsidP="00436908">
            <w:r>
              <w:t>Wave</w:t>
            </w:r>
            <w:r w:rsidR="00222F94" w:rsidRPr="00222F94">
              <w:t xml:space="preserve"> 2</w:t>
            </w:r>
          </w:p>
        </w:tc>
        <w:tc>
          <w:tcPr>
            <w:tcW w:w="1559" w:type="dxa"/>
          </w:tcPr>
          <w:p w14:paraId="283B032D" w14:textId="6840920B" w:rsidR="00222F94" w:rsidRPr="00222F94" w:rsidRDefault="006F38F7" w:rsidP="00161ABD">
            <w:pPr>
              <w:jc w:val="center"/>
            </w:pPr>
            <w:r>
              <w:t>NA</w:t>
            </w:r>
          </w:p>
        </w:tc>
        <w:tc>
          <w:tcPr>
            <w:tcW w:w="1558" w:type="dxa"/>
          </w:tcPr>
          <w:p w14:paraId="7AF5A43E" w14:textId="77777777" w:rsidR="00222F94" w:rsidRPr="00222F94" w:rsidRDefault="00222F94" w:rsidP="00161ABD">
            <w:pPr>
              <w:jc w:val="center"/>
            </w:pPr>
            <w:r w:rsidRPr="00222F94">
              <w:t>38%</w:t>
            </w:r>
          </w:p>
        </w:tc>
        <w:tc>
          <w:tcPr>
            <w:tcW w:w="1444" w:type="dxa"/>
          </w:tcPr>
          <w:p w14:paraId="3CAAE8FE" w14:textId="77777777" w:rsidR="00222F94" w:rsidRPr="00222F94" w:rsidRDefault="00222F94" w:rsidP="00161ABD">
            <w:pPr>
              <w:jc w:val="center"/>
            </w:pPr>
            <w:r w:rsidRPr="00222F94">
              <w:t>38%</w:t>
            </w:r>
          </w:p>
        </w:tc>
        <w:tc>
          <w:tcPr>
            <w:tcW w:w="1672" w:type="dxa"/>
          </w:tcPr>
          <w:p w14:paraId="03B92587" w14:textId="77777777" w:rsidR="00222F94" w:rsidRPr="00222F94" w:rsidRDefault="00222F94" w:rsidP="00161ABD">
            <w:pPr>
              <w:jc w:val="center"/>
            </w:pPr>
            <w:r w:rsidRPr="00222F94">
              <w:t>38%</w:t>
            </w:r>
          </w:p>
        </w:tc>
        <w:tc>
          <w:tcPr>
            <w:tcW w:w="1558" w:type="dxa"/>
          </w:tcPr>
          <w:p w14:paraId="70E169EE" w14:textId="77777777" w:rsidR="00222F94" w:rsidRPr="00222F94" w:rsidRDefault="00222F94" w:rsidP="00161ABD">
            <w:pPr>
              <w:jc w:val="center"/>
            </w:pPr>
            <w:r w:rsidRPr="00222F94">
              <w:t>38%</w:t>
            </w:r>
          </w:p>
        </w:tc>
      </w:tr>
    </w:tbl>
    <w:p w14:paraId="707E2866" w14:textId="7355B5FE" w:rsidR="00436908" w:rsidRPr="00436908" w:rsidRDefault="00436908" w:rsidP="00436908">
      <w:pPr>
        <w:spacing w:line="480" w:lineRule="auto"/>
      </w:pPr>
      <w:r w:rsidRPr="00436908">
        <w:t>The following missing data percentages were observed in the variables included in the analysis model (analysis variables)</w:t>
      </w:r>
      <w:r w:rsidR="00076D0B">
        <w:t xml:space="preserve"> and the auxiliary variables used in the imputation procedure</w:t>
      </w:r>
      <w:r w:rsidRPr="00436908">
        <w:t>:</w:t>
      </w:r>
    </w:p>
    <w:p w14:paraId="1ECA697A" w14:textId="3D49D3B2" w:rsidR="00E07476" w:rsidRPr="00E07476" w:rsidRDefault="00E07476" w:rsidP="00011098">
      <w:pPr>
        <w:spacing w:line="480" w:lineRule="auto"/>
        <w:rPr>
          <w:b/>
          <w:bCs/>
        </w:rPr>
      </w:pPr>
    </w:p>
    <w:p w14:paraId="5878766E" w14:textId="13E91163" w:rsidR="00923E6B" w:rsidRPr="00011098" w:rsidRDefault="00923E6B" w:rsidP="00436908">
      <w:pPr>
        <w:spacing w:line="480" w:lineRule="auto"/>
        <w:rPr>
          <w:b/>
          <w:bCs/>
          <w:i/>
          <w:iCs/>
        </w:rPr>
      </w:pPr>
      <w:r w:rsidRPr="00011098">
        <w:rPr>
          <w:b/>
          <w:bCs/>
          <w:i/>
          <w:iCs/>
        </w:rPr>
        <w:t>Imputation</w:t>
      </w:r>
      <w:r w:rsidR="00B83796" w:rsidRPr="00011098">
        <w:rPr>
          <w:b/>
          <w:bCs/>
          <w:i/>
          <w:iCs/>
        </w:rPr>
        <w:t>/Analysis</w:t>
      </w:r>
      <w:r w:rsidRPr="00011098">
        <w:rPr>
          <w:b/>
          <w:bCs/>
          <w:i/>
          <w:iCs/>
        </w:rPr>
        <w:t xml:space="preserve"> Procedure Details</w:t>
      </w:r>
    </w:p>
    <w:p w14:paraId="607FECDE" w14:textId="71B94DF7" w:rsidR="00657844" w:rsidRDefault="005F0A2E" w:rsidP="005F26FE">
      <w:pPr>
        <w:spacing w:line="480" w:lineRule="auto"/>
        <w:ind w:firstLine="720"/>
      </w:pPr>
      <w:r>
        <w:t>M</w:t>
      </w:r>
      <w:r w:rsidR="001B5F50">
        <w:t>odel-based m</w:t>
      </w:r>
      <w:r>
        <w:t xml:space="preserve">ultiple imputation </w:t>
      </w:r>
      <w:r w:rsidR="00CB0EB2" w:rsidRPr="007940E2">
        <w:t>(Enders, 20</w:t>
      </w:r>
      <w:r w:rsidR="00CB0EB2">
        <w:t>22</w:t>
      </w:r>
      <w:r w:rsidR="00CB0EB2" w:rsidRPr="007940E2">
        <w:t>)</w:t>
      </w:r>
      <w:r w:rsidR="00CB0EB2">
        <w:t xml:space="preserve"> </w:t>
      </w:r>
      <w:r>
        <w:t>for the final analyses of this project w</w:t>
      </w:r>
      <w:r w:rsidR="004E4074">
        <w:t>as</w:t>
      </w:r>
      <w:r>
        <w:t xml:space="preserve"> conducted </w:t>
      </w:r>
      <w:r w:rsidR="001B5F50">
        <w:t xml:space="preserve">using </w:t>
      </w:r>
      <w:r w:rsidR="001B5F50" w:rsidRPr="001B5F50">
        <w:t>Blimp Version 3.0.</w:t>
      </w:r>
      <w:r w:rsidR="001B5F50">
        <w:t>52</w:t>
      </w:r>
      <w:r w:rsidR="001B5F50" w:rsidRPr="001B5F50">
        <w:t xml:space="preserve"> (Keller &amp; Enders, 2021). </w:t>
      </w:r>
      <w:r w:rsidR="004B0B70">
        <w:t>Blimp was chosen over</w:t>
      </w:r>
      <w:r w:rsidR="00FA5B18">
        <w:t xml:space="preserve"> </w:t>
      </w:r>
      <w:r w:rsidR="004B0B70">
        <w:t xml:space="preserve">popular multiple imputation packages </w:t>
      </w:r>
      <w:r w:rsidR="00A26BCA">
        <w:t xml:space="preserve">in R </w:t>
      </w:r>
      <w:r w:rsidR="004B0B70">
        <w:t xml:space="preserve">such as </w:t>
      </w:r>
      <w:r w:rsidR="00402B36">
        <w:t xml:space="preserve">Amelia </w:t>
      </w:r>
      <w:r w:rsidR="00A26BCA">
        <w:t>(</w:t>
      </w:r>
      <w:r w:rsidR="00A26BCA" w:rsidRPr="00A26BCA">
        <w:t xml:space="preserve">Honaker </w:t>
      </w:r>
      <w:r w:rsidR="00A26BCA">
        <w:t xml:space="preserve">et al., 2011) </w:t>
      </w:r>
      <w:r w:rsidR="00FA5B18">
        <w:t>and</w:t>
      </w:r>
      <w:r w:rsidR="00402B36">
        <w:t xml:space="preserve"> mice </w:t>
      </w:r>
      <w:r w:rsidR="00FA5B18">
        <w:t>(</w:t>
      </w:r>
      <w:r w:rsidR="00FA5B18" w:rsidRPr="002702A2">
        <w:rPr>
          <w:bCs/>
        </w:rPr>
        <w:t xml:space="preserve">van </w:t>
      </w:r>
      <w:proofErr w:type="spellStart"/>
      <w:r w:rsidR="00FA5B18" w:rsidRPr="002702A2">
        <w:rPr>
          <w:bCs/>
        </w:rPr>
        <w:t>Buuren</w:t>
      </w:r>
      <w:proofErr w:type="spellEnd"/>
      <w:r w:rsidR="00FA5B18">
        <w:t xml:space="preserve"> et al., 2011) because of the additional </w:t>
      </w:r>
      <w:r w:rsidR="007A25B3">
        <w:t xml:space="preserve">modelling </w:t>
      </w:r>
      <w:r w:rsidR="00FA5B18">
        <w:t>flexibilit</w:t>
      </w:r>
      <w:r w:rsidR="00666D49">
        <w:t>ies</w:t>
      </w:r>
      <w:r w:rsidR="00FA5B18">
        <w:t xml:space="preserve"> afforded</w:t>
      </w:r>
      <w:r w:rsidR="00666D49">
        <w:t xml:space="preserve"> by its </w:t>
      </w:r>
      <w:r w:rsidR="004C329C">
        <w:t>imputation algorithms (</w:t>
      </w:r>
      <w:r w:rsidR="00360CA3">
        <w:t>see</w:t>
      </w:r>
      <w:r w:rsidR="004E4074">
        <w:t xml:space="preserve"> Enders, 2022; Keller &amp; Enders, 2021</w:t>
      </w:r>
      <w:r w:rsidR="00360CA3">
        <w:t xml:space="preserve">; see the Sensitivity Analysis subsection for a comparison of these </w:t>
      </w:r>
      <w:r w:rsidR="00CC58DE">
        <w:t>multiple imputation programs</w:t>
      </w:r>
      <w:r w:rsidR="004E4074">
        <w:t>).</w:t>
      </w:r>
      <w:r w:rsidR="004C329C">
        <w:t xml:space="preserve"> </w:t>
      </w:r>
      <w:r w:rsidR="00897A3C">
        <w:t xml:space="preserve">The </w:t>
      </w:r>
      <w:r w:rsidR="001D7EA0">
        <w:t xml:space="preserve">Blimp script used </w:t>
      </w:r>
      <w:r w:rsidR="00AF5718">
        <w:t>to carry out th</w:t>
      </w:r>
      <w:r w:rsidR="00CF06BA">
        <w:t xml:space="preserve">e final imputation procedure is available at </w:t>
      </w:r>
      <w:hyperlink r:id="rId8" w:history="1">
        <w:r w:rsidR="005F26FE" w:rsidRPr="00DE18A6">
          <w:rPr>
            <w:rStyle w:val="Hyperlink"/>
          </w:rPr>
          <w:t>https://osf.io/sgx2p/</w:t>
        </w:r>
      </w:hyperlink>
      <w:r w:rsidR="005F26FE">
        <w:t xml:space="preserve">. </w:t>
      </w:r>
      <w:r w:rsidR="003320E9">
        <w:t>Measurements for all three mediators (</w:t>
      </w:r>
      <w:r w:rsidR="00161ABD">
        <w:t>ethnic</w:t>
      </w:r>
      <w:r w:rsidR="003320E9">
        <w:t xml:space="preserve"> centrality, </w:t>
      </w:r>
      <w:r w:rsidR="00161ABD">
        <w:t>ethnic</w:t>
      </w:r>
      <w:r w:rsidR="003320E9">
        <w:t xml:space="preserve"> private regard, and </w:t>
      </w:r>
      <w:r w:rsidR="00161ABD">
        <w:t>ethnic</w:t>
      </w:r>
      <w:r w:rsidR="003320E9">
        <w:t xml:space="preserve"> public regard) and the outcome variable (self-esteem) that were taken </w:t>
      </w:r>
      <w:r w:rsidR="0080586D">
        <w:t xml:space="preserve">prior to </w:t>
      </w:r>
      <w:r w:rsidR="00D34E97">
        <w:t>wave 1</w:t>
      </w:r>
      <w:r w:rsidR="0080586D">
        <w:t xml:space="preserve"> </w:t>
      </w:r>
      <w:r w:rsidR="00F36339">
        <w:t xml:space="preserve">were used as auxiliary variables in the imputation procedure. </w:t>
      </w:r>
      <w:r w:rsidR="00657844">
        <w:t>This was d</w:t>
      </w:r>
      <w:r w:rsidR="00B655B1">
        <w:t>one</w:t>
      </w:r>
      <w:r w:rsidR="00657844">
        <w:t xml:space="preserve"> </w:t>
      </w:r>
      <w:r w:rsidR="00B655B1">
        <w:t>because</w:t>
      </w:r>
      <w:r w:rsidR="00657844">
        <w:t xml:space="preserve"> measurements taken at earlier timepoints can offer information about missing measurements at later timepoints in multiple imputation for </w:t>
      </w:r>
      <w:r w:rsidR="00657844">
        <w:lastRenderedPageBreak/>
        <w:t xml:space="preserve">longitudinal data (e.g., see </w:t>
      </w:r>
      <w:proofErr w:type="spellStart"/>
      <w:r w:rsidR="00657844">
        <w:t>Raykov</w:t>
      </w:r>
      <w:proofErr w:type="spellEnd"/>
      <w:r w:rsidR="00657844">
        <w:t xml:space="preserve"> &amp; West, 2016)</w:t>
      </w:r>
      <w:r w:rsidR="00B655B1">
        <w:t xml:space="preserve">, thus making the missing at random (MAR) assumption </w:t>
      </w:r>
      <w:r w:rsidR="005D2826">
        <w:t xml:space="preserve">(Little &amp; Rubin, 1987; Rubin, 1976) </w:t>
      </w:r>
      <w:r w:rsidR="00B655B1">
        <w:t>more plausible</w:t>
      </w:r>
      <w:r w:rsidR="00657844">
        <w:t>.</w:t>
      </w:r>
      <w:r w:rsidR="00B655B1">
        <w:t xml:space="preserve"> </w:t>
      </w:r>
    </w:p>
    <w:p w14:paraId="0E60C4BE" w14:textId="7DBFD045" w:rsidR="008815A9" w:rsidRDefault="00BD5083" w:rsidP="005D2826">
      <w:pPr>
        <w:spacing w:line="480" w:lineRule="auto"/>
        <w:ind w:firstLine="720"/>
      </w:pPr>
      <w:r>
        <w:t xml:space="preserve">The partially factored specification </w:t>
      </w:r>
      <w:r w:rsidRPr="001B5F50">
        <w:t>(Keller &amp; Enders, 2021)</w:t>
      </w:r>
      <w:r>
        <w:t xml:space="preserve"> was used to impute</w:t>
      </w:r>
      <w:r w:rsidRPr="001B5F50">
        <w:t xml:space="preserve"> </w:t>
      </w:r>
      <w:r>
        <w:t>a</w:t>
      </w:r>
      <w:r w:rsidR="008815A9">
        <w:t>nalysis variables (i.e., those involved in the actual mediatio</w:t>
      </w:r>
      <w:r>
        <w:t>n analysis)</w:t>
      </w:r>
      <w:r w:rsidR="00AD5DD3">
        <w:t>, with the imputation models</w:t>
      </w:r>
      <w:r w:rsidR="00DB7624">
        <w:t xml:space="preserve"> </w:t>
      </w:r>
      <w:r>
        <w:t>mirroring the regression models used to conduct the mediation analysis</w:t>
      </w:r>
      <w:r w:rsidR="00AD5DD3">
        <w:t>.</w:t>
      </w:r>
      <w:r w:rsidR="00DB7624">
        <w:t xml:space="preserve"> The auxiliary variables were </w:t>
      </w:r>
      <w:r w:rsidR="00F5158B">
        <w:t xml:space="preserve">imputed using sequential specification as described in </w:t>
      </w:r>
      <w:r w:rsidR="00F5158B" w:rsidRPr="001B5F50">
        <w:t>Keller</w:t>
      </w:r>
      <w:r w:rsidR="001D7EA0">
        <w:t xml:space="preserve"> and</w:t>
      </w:r>
      <w:r w:rsidR="00F5158B" w:rsidRPr="001B5F50">
        <w:t xml:space="preserve"> Enders</w:t>
      </w:r>
      <w:r w:rsidR="00EE4AB3">
        <w:t xml:space="preserve"> (2</w:t>
      </w:r>
      <w:r w:rsidR="00F5158B" w:rsidRPr="001B5F50">
        <w:t>021</w:t>
      </w:r>
      <w:r w:rsidR="00EE4AB3">
        <w:t>)</w:t>
      </w:r>
      <w:r w:rsidR="00F5158B">
        <w:t>.</w:t>
      </w:r>
      <w:r w:rsidR="00B86D8A">
        <w:t xml:space="preserve"> </w:t>
      </w:r>
      <w:r w:rsidR="001D7EA0">
        <w:t xml:space="preserve">Preliminary runs of the imputation procedure revealed that </w:t>
      </w:r>
      <w:r w:rsidR="003470AD">
        <w:t xml:space="preserve">the distributions of the affected by SB 1070 variable and the three </w:t>
      </w:r>
      <w:r w:rsidR="00161ABD">
        <w:t>ethnic</w:t>
      </w:r>
      <w:r w:rsidR="003470AD">
        <w:t xml:space="preserve"> private regard variables (</w:t>
      </w:r>
      <w:r w:rsidR="00A54CC5">
        <w:t xml:space="preserve">i.e., </w:t>
      </w:r>
      <w:r w:rsidR="003470AD">
        <w:t xml:space="preserve">the </w:t>
      </w:r>
      <w:r w:rsidR="00D34E97">
        <w:t>wave 1</w:t>
      </w:r>
      <w:r w:rsidR="003470AD">
        <w:t xml:space="preserve">, </w:t>
      </w:r>
      <w:r w:rsidR="00D34E97">
        <w:t>wave 2</w:t>
      </w:r>
      <w:r w:rsidR="003470AD">
        <w:t xml:space="preserve">, and auxiliary variables) were too skewed for the imputation procedure to produce imputed values that matched their distributions, and thus </w:t>
      </w:r>
      <w:r w:rsidR="00AC39D5">
        <w:t xml:space="preserve">a </w:t>
      </w:r>
      <w:r w:rsidR="003470AD">
        <w:t xml:space="preserve">Yeo-Johnson </w:t>
      </w:r>
      <w:r w:rsidR="00AC39D5" w:rsidRPr="00AC39D5">
        <w:t>(Yeo &amp; Johnson, 2000)</w:t>
      </w:r>
      <w:r w:rsidR="00AC39D5">
        <w:t xml:space="preserve"> transformation was applied to all four variables.</w:t>
      </w:r>
      <w:r w:rsidR="00A54CC5">
        <w:t xml:space="preserve"> These variables were also </w:t>
      </w:r>
      <w:proofErr w:type="gramStart"/>
      <w:r w:rsidR="00A54CC5">
        <w:t>median</w:t>
      </w:r>
      <w:r w:rsidR="00AB3CD1">
        <w:t>-</w:t>
      </w:r>
      <w:r w:rsidR="00A54CC5">
        <w:t>centered</w:t>
      </w:r>
      <w:proofErr w:type="gramEnd"/>
      <w:r w:rsidR="00A54CC5">
        <w:t xml:space="preserve"> in the imputation procedure to improve convergence as described in </w:t>
      </w:r>
      <w:r w:rsidR="00EE4AB3" w:rsidRPr="001B5F50">
        <w:t>Keller</w:t>
      </w:r>
      <w:r w:rsidR="00EE4AB3">
        <w:t xml:space="preserve"> and</w:t>
      </w:r>
      <w:r w:rsidR="00EE4AB3" w:rsidRPr="001B5F50">
        <w:t xml:space="preserve"> Enders</w:t>
      </w:r>
      <w:r w:rsidR="00EE4AB3">
        <w:t xml:space="preserve"> (</w:t>
      </w:r>
      <w:r w:rsidR="00EE4AB3" w:rsidRPr="001B5F50">
        <w:t>2021</w:t>
      </w:r>
      <w:r w:rsidR="00EE4AB3">
        <w:t>).</w:t>
      </w:r>
      <w:r w:rsidR="00454E6B">
        <w:t xml:space="preserve"> All iterations of the Blimp script</w:t>
      </w:r>
      <w:r w:rsidR="00B86D8A">
        <w:t>, as well</w:t>
      </w:r>
      <w:r w:rsidR="00454E6B">
        <w:t xml:space="preserve"> a</w:t>
      </w:r>
      <w:r w:rsidR="00B86D8A">
        <w:t>s</w:t>
      </w:r>
      <w:r w:rsidR="00454E6B">
        <w:t xml:space="preserve"> the R script used to examine/compare the distributions of their imputations</w:t>
      </w:r>
      <w:r w:rsidR="00B86D8A">
        <w:t>,</w:t>
      </w:r>
      <w:r w:rsidR="00454E6B">
        <w:t xml:space="preserve"> are available at </w:t>
      </w:r>
      <w:hyperlink r:id="rId9" w:history="1">
        <w:r w:rsidR="005F26FE" w:rsidRPr="00DE18A6">
          <w:rPr>
            <w:rStyle w:val="Hyperlink"/>
          </w:rPr>
          <w:t>https://osf.io/sgx2p/</w:t>
        </w:r>
      </w:hyperlink>
      <w:r w:rsidR="00454E6B">
        <w:t>.</w:t>
      </w:r>
    </w:p>
    <w:p w14:paraId="4A847EB1" w14:textId="7723CD70" w:rsidR="00DD66B2" w:rsidRDefault="00B81889" w:rsidP="005D2826">
      <w:pPr>
        <w:spacing w:line="480" w:lineRule="auto"/>
        <w:ind w:firstLine="720"/>
      </w:pPr>
      <w:r>
        <w:t xml:space="preserve">For the final </w:t>
      </w:r>
      <w:r w:rsidR="00012652">
        <w:t xml:space="preserve">run of the </w:t>
      </w:r>
      <w:r w:rsidR="000F0FE3">
        <w:t xml:space="preserve">Blimp </w:t>
      </w:r>
      <w:r w:rsidR="00012652">
        <w:t>multiple imputation procedure</w:t>
      </w:r>
      <w:r>
        <w:t>, a</w:t>
      </w:r>
      <w:r w:rsidRPr="00B81889">
        <w:t xml:space="preserve"> burn-in period of 5000 iterations was used</w:t>
      </w:r>
      <w:r w:rsidR="00AA553E">
        <w:t>, as this allowed</w:t>
      </w:r>
      <w:r w:rsidRPr="00B81889">
        <w:t xml:space="preserve"> the potential scale reduction factor (Gelman &amp; Rubin, 1992) to have adequate iterations to drop below 1.05, indicating acceptable convergence</w:t>
      </w:r>
      <w:r w:rsidR="0038225C">
        <w:t xml:space="preserve"> </w:t>
      </w:r>
      <w:r w:rsidR="0038225C" w:rsidRPr="001B5F50">
        <w:t>(Keller &amp; Enders, 2021)</w:t>
      </w:r>
      <w:r w:rsidR="00D94847">
        <w:t>.</w:t>
      </w:r>
      <w:r w:rsidRPr="00B81889">
        <w:t xml:space="preserve"> </w:t>
      </w:r>
      <w:r w:rsidR="00BA112A">
        <w:t>An</w:t>
      </w:r>
      <w:r w:rsidRPr="00B81889">
        <w:t xml:space="preserve"> additional 10,000 iterations </w:t>
      </w:r>
      <w:r w:rsidR="00B83796">
        <w:t xml:space="preserve">spread across 100 MCMC chains </w:t>
      </w:r>
      <w:r w:rsidRPr="00B81889">
        <w:t xml:space="preserve">were </w:t>
      </w:r>
      <w:r w:rsidR="00BA112A">
        <w:t xml:space="preserve">then </w:t>
      </w:r>
      <w:r w:rsidRPr="00B81889">
        <w:t xml:space="preserve">run to </w:t>
      </w:r>
      <w:r w:rsidR="00BA112A">
        <w:t>generate a total</w:t>
      </w:r>
      <w:r w:rsidR="0057345B">
        <w:t xml:space="preserve"> of</w:t>
      </w:r>
      <w:r w:rsidRPr="00B81889">
        <w:t xml:space="preserve"> 100 imputed datasets </w:t>
      </w:r>
      <w:r w:rsidR="0057345B">
        <w:t>that</w:t>
      </w:r>
      <w:r w:rsidR="00BA112A">
        <w:t xml:space="preserve"> were saved</w:t>
      </w:r>
      <w:r w:rsidR="0030305A">
        <w:t xml:space="preserve"> for analysis in R </w:t>
      </w:r>
      <w:r w:rsidR="0030305A" w:rsidRPr="00DD1643">
        <w:t>Version 4.0.2 (R Core Team, 202</w:t>
      </w:r>
      <w:r w:rsidR="0030305A">
        <w:t>1</w:t>
      </w:r>
      <w:r w:rsidR="0030305A" w:rsidRPr="00DD1643">
        <w:t>)</w:t>
      </w:r>
      <w:r w:rsidR="0030305A">
        <w:t>.</w:t>
      </w:r>
      <w:r w:rsidR="00B83796">
        <w:t xml:space="preserve"> The R code used</w:t>
      </w:r>
      <w:r w:rsidR="003F1F47">
        <w:t xml:space="preserve"> to conduct the final analysis of the data is available at</w:t>
      </w:r>
      <w:r w:rsidR="005F26FE">
        <w:t xml:space="preserve"> </w:t>
      </w:r>
      <w:hyperlink r:id="rId10" w:history="1">
        <w:r w:rsidR="00A75824" w:rsidRPr="00DE18A6">
          <w:rPr>
            <w:rStyle w:val="Hyperlink"/>
          </w:rPr>
          <w:t>https://osf.io/sgx2p/</w:t>
        </w:r>
      </w:hyperlink>
      <w:r w:rsidR="003F1F47">
        <w:t>.</w:t>
      </w:r>
      <w:r w:rsidR="003848EB">
        <w:t xml:space="preserve"> </w:t>
      </w:r>
      <w:r w:rsidR="00383629">
        <w:t xml:space="preserve">To obtain point estimates of the specific and total indirect effects, the necessary regression </w:t>
      </w:r>
      <w:r w:rsidR="00D43DBD">
        <w:t>analyses</w:t>
      </w:r>
      <w:r w:rsidR="00383629">
        <w:t xml:space="preserve"> were conducted in each </w:t>
      </w:r>
      <w:r w:rsidR="00D43DBD">
        <w:t xml:space="preserve">complete </w:t>
      </w:r>
      <w:r w:rsidR="00383629">
        <w:t>imputed data set and the</w:t>
      </w:r>
      <w:r w:rsidR="00CF260E">
        <w:t>n the</w:t>
      </w:r>
      <w:r w:rsidR="00383629">
        <w:t xml:space="preserve"> indirect effects were calculated for each one. These indirect effects were </w:t>
      </w:r>
      <w:r w:rsidR="00CF260E">
        <w:t>finally</w:t>
      </w:r>
      <w:r w:rsidR="00383629">
        <w:t xml:space="preserve"> pooled according </w:t>
      </w:r>
      <w:r w:rsidR="00383629">
        <w:lastRenderedPageBreak/>
        <w:t xml:space="preserve">to Rubin’s </w:t>
      </w:r>
      <w:r w:rsidR="00897A3C">
        <w:t xml:space="preserve">(1987) </w:t>
      </w:r>
      <w:r w:rsidR="00383629">
        <w:t xml:space="preserve">Rules </w:t>
      </w:r>
      <w:r w:rsidR="00897A3C">
        <w:t>by</w:t>
      </w:r>
      <w:r w:rsidR="00383629">
        <w:t xml:space="preserve"> averaging the indirect effect estimates across imputed datasets (</w:t>
      </w:r>
      <w:r w:rsidR="00067C57">
        <w:t xml:space="preserve">e.g., </w:t>
      </w:r>
      <w:r w:rsidR="00383629">
        <w:t xml:space="preserve">see </w:t>
      </w:r>
      <w:r w:rsidR="007A7D82">
        <w:t>Enders, 2022</w:t>
      </w:r>
      <w:r w:rsidR="009E314D">
        <w:t>;</w:t>
      </w:r>
      <w:r w:rsidR="00F07E1A">
        <w:t xml:space="preserve"> Zhang &amp; Wang, 2013</w:t>
      </w:r>
      <w:r w:rsidR="007A7D82">
        <w:t xml:space="preserve">). </w:t>
      </w:r>
    </w:p>
    <w:p w14:paraId="46B83CC8" w14:textId="733BB99A" w:rsidR="008A5865" w:rsidRDefault="003E6AE2" w:rsidP="005D2826">
      <w:pPr>
        <w:spacing w:line="480" w:lineRule="auto"/>
        <w:ind w:firstLine="720"/>
      </w:pPr>
      <w:r>
        <w:t xml:space="preserve">To conduct inference on these indirect effects, the </w:t>
      </w:r>
      <w:r w:rsidR="009E314D">
        <w:t>imputation-then-bootstrap procedure introduced by Wu and J</w:t>
      </w:r>
      <w:r w:rsidR="008D10C7">
        <w:t>ia</w:t>
      </w:r>
      <w:r w:rsidR="009E314D">
        <w:t xml:space="preserve"> (2013) was used.</w:t>
      </w:r>
      <w:r w:rsidR="00DD66B2">
        <w:t xml:space="preserve"> In their method, missing data are multiply imputed first</w:t>
      </w:r>
      <w:r w:rsidR="00CF260E">
        <w:t>,</w:t>
      </w:r>
      <w:r w:rsidR="00DD66B2">
        <w:t xml:space="preserve"> and then bootstrapping occurs within each complete imputed dataset. </w:t>
      </w:r>
      <w:r w:rsidR="008B1A3A">
        <w:t>This imputation-then-bootstrap approach was chosen over Zhang and Wang’s (2013) bootstrap-then-imputation approach because it has not been shown to perform any worse than the la</w:t>
      </w:r>
      <w:r w:rsidR="00D42CE1">
        <w:t>t</w:t>
      </w:r>
      <w:r w:rsidR="008B1A3A">
        <w:t xml:space="preserve">ter </w:t>
      </w:r>
      <w:r w:rsidR="008D10C7">
        <w:t xml:space="preserve">method when used with the indirect effect </w:t>
      </w:r>
      <w:r w:rsidR="008B1A3A">
        <w:t xml:space="preserve">and it is more computationally </w:t>
      </w:r>
      <w:r w:rsidR="008D10C7">
        <w:t>efficient</w:t>
      </w:r>
      <w:r w:rsidR="008B1A3A">
        <w:t xml:space="preserve"> (</w:t>
      </w:r>
      <w:r w:rsidR="00CA370A">
        <w:t xml:space="preserve">Wu &amp; Jia, 2013; see </w:t>
      </w:r>
      <w:r w:rsidR="008B1A3A">
        <w:t xml:space="preserve">the Sensitivity Analysis subsection for a comparison of these approaches). </w:t>
      </w:r>
    </w:p>
    <w:p w14:paraId="72C0247A" w14:textId="72C84D83" w:rsidR="008E0706" w:rsidRPr="005F0A2E" w:rsidRDefault="00DD66B2" w:rsidP="000453C9">
      <w:pPr>
        <w:spacing w:line="480" w:lineRule="auto"/>
        <w:ind w:firstLine="720"/>
      </w:pPr>
      <w:r>
        <w:t xml:space="preserve">Thus, </w:t>
      </w:r>
      <w:r w:rsidR="008A5865">
        <w:t xml:space="preserve">following the procedure of Wu and Jia (2013), </w:t>
      </w:r>
      <w:r>
        <w:t>we drew 1000 bootstrap samples from each of our 100 imputed datasets and calculated the bootstrap indirect effects in each.</w:t>
      </w:r>
      <w:r w:rsidR="00A24C36">
        <w:t xml:space="preserve"> </w:t>
      </w:r>
      <w:r w:rsidR="000C7146">
        <w:t xml:space="preserve">We </w:t>
      </w:r>
      <w:r w:rsidR="00A24C36">
        <w:t xml:space="preserve">then pooled these 100 X 1000 = 100,000 bootstrap estimates to form one </w:t>
      </w:r>
      <w:r w:rsidR="00CF260E">
        <w:t>sampling distribution</w:t>
      </w:r>
      <w:r w:rsidR="00A24C36">
        <w:t xml:space="preserve"> for each indirect effect of interest.</w:t>
      </w:r>
      <w:r w:rsidR="002E6130">
        <w:t xml:space="preserve"> A bootstrap confidence interval was formed for each indirect effect using these distributions. We used the percentile bootstrap confidence interval because the alternative bias-corrected bootstrap confidence interval has been shown to have inflated type I error rates in certain </w:t>
      </w:r>
      <w:r w:rsidR="001830A1">
        <w:t xml:space="preserve">situations </w:t>
      </w:r>
      <w:r w:rsidR="002E6130">
        <w:t>(</w:t>
      </w:r>
      <w:proofErr w:type="spellStart"/>
      <w:r w:rsidR="002E6130">
        <w:t>Biesanz</w:t>
      </w:r>
      <w:proofErr w:type="spellEnd"/>
      <w:r w:rsidR="002E6130">
        <w:t xml:space="preserve"> et al., 2010; Chen &amp; Fritz, 2021; Fritz et al</w:t>
      </w:r>
      <w:r w:rsidR="001830A1">
        <w:t>.</w:t>
      </w:r>
      <w:r w:rsidR="002E6130">
        <w:t>, 2012).</w:t>
      </w:r>
      <w:r w:rsidR="00CD69F2">
        <w:t xml:space="preserve"> </w:t>
      </w:r>
      <w:r w:rsidR="0012085D">
        <w:t>Pooled b</w:t>
      </w:r>
      <w:r w:rsidR="00CD69F2">
        <w:t xml:space="preserve">ootstrap standard error estimates were also computed for the indirect effects </w:t>
      </w:r>
      <w:r w:rsidR="00320E64">
        <w:t xml:space="preserve">by </w:t>
      </w:r>
      <w:r w:rsidR="00DA5E96">
        <w:t xml:space="preserve">applying </w:t>
      </w:r>
      <w:r w:rsidR="00320E64">
        <w:t xml:space="preserve">the variance </w:t>
      </w:r>
      <w:r w:rsidR="000453C9">
        <w:t>equation</w:t>
      </w:r>
      <w:r w:rsidR="00CD69F2">
        <w:t xml:space="preserve"> described in</w:t>
      </w:r>
      <w:r w:rsidR="00245B87">
        <w:t xml:space="preserve"> </w:t>
      </w:r>
      <w:proofErr w:type="spellStart"/>
      <w:r w:rsidR="00245B87">
        <w:t>Schomaker</w:t>
      </w:r>
      <w:proofErr w:type="spellEnd"/>
      <w:r w:rsidR="00245B87">
        <w:t xml:space="preserve"> and </w:t>
      </w:r>
      <w:proofErr w:type="spellStart"/>
      <w:r w:rsidR="00245B87">
        <w:t>Heumann</w:t>
      </w:r>
      <w:proofErr w:type="spellEnd"/>
      <w:r w:rsidR="00245B87">
        <w:t xml:space="preserve"> (2018)</w:t>
      </w:r>
      <w:r w:rsidR="00CD69F2">
        <w:t xml:space="preserve"> </w:t>
      </w:r>
      <w:r w:rsidR="0012085D">
        <w:t xml:space="preserve">to the </w:t>
      </w:r>
      <w:r w:rsidR="00926BEC">
        <w:t>variance of the bootstrap distribution generated</w:t>
      </w:r>
      <w:r w:rsidR="0012085D">
        <w:t xml:space="preserve"> in each imputed dataset</w:t>
      </w:r>
      <w:r w:rsidR="00DA5E96">
        <w:t xml:space="preserve"> and then taking its square root</w:t>
      </w:r>
      <w:r w:rsidR="0012085D">
        <w:t>.</w:t>
      </w:r>
      <w:r w:rsidR="003848EB">
        <w:t xml:space="preserve"> A .csv file containing all the output from the final </w:t>
      </w:r>
      <w:r w:rsidR="00E12A28">
        <w:t>analysis</w:t>
      </w:r>
      <w:r w:rsidR="003848EB">
        <w:t xml:space="preserve"> is available at </w:t>
      </w:r>
      <w:hyperlink r:id="rId11" w:history="1">
        <w:r w:rsidR="005F26FE" w:rsidRPr="00DE18A6">
          <w:rPr>
            <w:rStyle w:val="Hyperlink"/>
          </w:rPr>
          <w:t>https://osf.io/sgx2p/</w:t>
        </w:r>
      </w:hyperlink>
      <w:r w:rsidR="003848EB">
        <w:t>.</w:t>
      </w:r>
      <w:r w:rsidR="008E0706">
        <w:tab/>
      </w:r>
    </w:p>
    <w:p w14:paraId="1EF6F15D" w14:textId="6D13FDD1" w:rsidR="005B3773" w:rsidRPr="00011098" w:rsidRDefault="0018437C" w:rsidP="005D2826">
      <w:pPr>
        <w:spacing w:line="480" w:lineRule="auto"/>
        <w:rPr>
          <w:b/>
          <w:bCs/>
          <w:i/>
          <w:iCs/>
        </w:rPr>
      </w:pPr>
      <w:r w:rsidRPr="00011098">
        <w:rPr>
          <w:b/>
          <w:bCs/>
          <w:i/>
          <w:iCs/>
        </w:rPr>
        <w:t>Sensitivity Analys</w:t>
      </w:r>
      <w:r w:rsidR="00155E46" w:rsidRPr="00011098">
        <w:rPr>
          <w:b/>
          <w:bCs/>
          <w:i/>
          <w:iCs/>
        </w:rPr>
        <w:t>is</w:t>
      </w:r>
    </w:p>
    <w:p w14:paraId="71D2A075" w14:textId="0768999D" w:rsidR="00AE3AB5" w:rsidRPr="00F477A8" w:rsidRDefault="00621C2D" w:rsidP="00F477A8">
      <w:pPr>
        <w:spacing w:line="480" w:lineRule="auto"/>
      </w:pPr>
      <w:r>
        <w:rPr>
          <w:b/>
          <w:bCs/>
        </w:rPr>
        <w:tab/>
      </w:r>
      <w:r w:rsidR="008C63B8">
        <w:t xml:space="preserve">Deciding </w:t>
      </w:r>
      <w:r w:rsidR="00B5789C">
        <w:t>which</w:t>
      </w:r>
      <w:r w:rsidR="008C63B8">
        <w:t xml:space="preserve"> methods and models </w:t>
      </w:r>
      <w:r w:rsidR="00B5789C">
        <w:t>to use</w:t>
      </w:r>
      <w:r w:rsidR="008C63B8">
        <w:t xml:space="preserve"> in our final analysis involved making a series of decisions that could potentially have impacted our results. Thus, we examined </w:t>
      </w:r>
      <w:r w:rsidR="00F13704">
        <w:t>how</w:t>
      </w:r>
      <w:r w:rsidR="008C63B8">
        <w:t xml:space="preserve"> changing </w:t>
      </w:r>
      <w:r w:rsidR="008C63B8">
        <w:lastRenderedPageBreak/>
        <w:t xml:space="preserve">those decisions would </w:t>
      </w:r>
      <w:r w:rsidR="00F13704">
        <w:t>change our results through</w:t>
      </w:r>
      <w:r w:rsidR="008C63B8">
        <w:t xml:space="preserve"> </w:t>
      </w:r>
      <w:r w:rsidR="00636C93">
        <w:t xml:space="preserve">a </w:t>
      </w:r>
      <w:r w:rsidR="008C63B8">
        <w:t>sensitivity analys</w:t>
      </w:r>
      <w:r w:rsidR="00636C93">
        <w:t>i</w:t>
      </w:r>
      <w:r w:rsidR="008C63B8">
        <w:t>s. First, t</w:t>
      </w:r>
      <w:r w:rsidRPr="00621C2D">
        <w:t xml:space="preserve">he final </w:t>
      </w:r>
      <w:r>
        <w:t xml:space="preserve">mediation </w:t>
      </w:r>
      <w:r w:rsidRPr="00621C2D">
        <w:t>analysis used in our project</w:t>
      </w:r>
      <w:r>
        <w:t xml:space="preserve"> was based on multiple imputation conducted in Blimp</w:t>
      </w:r>
      <w:r w:rsidR="003F08D0">
        <w:t xml:space="preserve">, </w:t>
      </w:r>
      <w:r w:rsidR="008C63B8">
        <w:t>but popular</w:t>
      </w:r>
      <w:r w:rsidR="003F08D0">
        <w:t xml:space="preserve"> alternative programs including the Amelia and mice R packages could have been used instead. Also,</w:t>
      </w:r>
      <w:r>
        <w:t xml:space="preserve"> the Wu and Jia (2013) imputation-then-bootstrap approach </w:t>
      </w:r>
      <w:r w:rsidR="003F08D0">
        <w:t>was implemented instead of the bootstrap-then-imputation approach of Zhang and Wang (2013)</w:t>
      </w:r>
      <w:r>
        <w:t xml:space="preserve">. </w:t>
      </w:r>
      <w:r w:rsidR="003F08D0">
        <w:t>Finally</w:t>
      </w:r>
      <w:r w:rsidR="006324A3">
        <w:t>, the</w:t>
      </w:r>
      <w:r>
        <w:t xml:space="preserve"> </w:t>
      </w:r>
      <w:r w:rsidR="00AE3AB5">
        <w:t xml:space="preserve">parallel </w:t>
      </w:r>
      <w:r>
        <w:t xml:space="preserve">mediation model </w:t>
      </w:r>
      <w:r w:rsidR="006324A3">
        <w:t xml:space="preserve">we </w:t>
      </w:r>
      <w:r w:rsidR="003F08D0">
        <w:t xml:space="preserve">based our </w:t>
      </w:r>
      <w:r w:rsidR="00C84096">
        <w:t xml:space="preserve">final </w:t>
      </w:r>
      <w:r w:rsidR="003F08D0">
        <w:t>analys</w:t>
      </w:r>
      <w:r w:rsidR="00C84096">
        <w:t>i</w:t>
      </w:r>
      <w:r w:rsidR="003F08D0">
        <w:t>s on</w:t>
      </w:r>
      <w:r>
        <w:t xml:space="preserve"> included </w:t>
      </w:r>
      <w:r w:rsidR="00D34E97">
        <w:t>wave 1</w:t>
      </w:r>
      <w:r>
        <w:t xml:space="preserve"> measurements of all three mediators and the outcome variable in all regression equations</w:t>
      </w:r>
      <w:r w:rsidR="003F08D0">
        <w:t xml:space="preserve"> to control </w:t>
      </w:r>
      <w:r w:rsidR="00A871E5">
        <w:t xml:space="preserve">for prior levels of these variables </w:t>
      </w:r>
      <w:r w:rsidR="00645F28">
        <w:t>(</w:t>
      </w:r>
      <w:proofErr w:type="gramStart"/>
      <w:r w:rsidR="00645F28">
        <w:t>similar to</w:t>
      </w:r>
      <w:proofErr w:type="gramEnd"/>
      <w:r w:rsidR="00645F28">
        <w:t xml:space="preserve"> the ANCOVA model discussed in Valente &amp; MacKinnon, 2017)</w:t>
      </w:r>
      <w:r w:rsidR="00AE3AB5">
        <w:t>.</w:t>
      </w:r>
      <w:r w:rsidR="00840263">
        <w:t xml:space="preserve"> Th</w:t>
      </w:r>
      <w:r w:rsidR="00E8673F">
        <w:t>e following four regression equations constitute this</w:t>
      </w:r>
      <w:r w:rsidR="00840263">
        <w:t xml:space="preserve"> final model</w:t>
      </w:r>
      <w:r w:rsidR="00E8673F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8050"/>
        <w:gridCol w:w="655"/>
      </w:tblGrid>
      <w:tr w:rsidR="00F477A8" w14:paraId="33C8DAEE" w14:textId="77777777" w:rsidTr="00DC3842">
        <w:tc>
          <w:tcPr>
            <w:tcW w:w="350" w:type="pct"/>
          </w:tcPr>
          <w:p w14:paraId="239CC4FC" w14:textId="77777777" w:rsidR="00F477A8" w:rsidRDefault="00F477A8" w:rsidP="00F477A8">
            <w:pPr>
              <w:spacing w:line="480" w:lineRule="auto"/>
            </w:pPr>
          </w:p>
        </w:tc>
        <w:tc>
          <w:tcPr>
            <w:tcW w:w="4300" w:type="pct"/>
          </w:tcPr>
          <w:p w14:paraId="503DC792" w14:textId="22DC97F7" w:rsidR="00F477A8" w:rsidRDefault="00000000" w:rsidP="00F477A8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1i</m:t>
                  </m:r>
                </m:sub>
              </m:sSub>
            </m:oMath>
            <w:r w:rsidR="00F477A8" w:rsidRPr="00612577">
              <w:t xml:space="preserve"> = </w:t>
            </w:r>
            <w:r w:rsidR="00F477A8" w:rsidRPr="00612577">
              <w:rPr>
                <w:i/>
                <w:iCs/>
              </w:rPr>
              <w:t>i</w:t>
            </w:r>
            <w:r w:rsidR="00F477A8" w:rsidRPr="00612577">
              <w:rPr>
                <w:i/>
                <w:iCs/>
                <w:vertAlign w:val="subscript"/>
              </w:rPr>
              <w:t>M1</w:t>
            </w:r>
            <w:r w:rsidR="00F477A8" w:rsidRPr="00612577">
              <w:t xml:space="preserve"> + </w:t>
            </w:r>
            <w:r w:rsidR="00F477A8" w:rsidRPr="00612577">
              <w:rPr>
                <w:i/>
                <w:iCs/>
              </w:rPr>
              <w:t>a</w:t>
            </w:r>
            <w:r w:rsidR="00F477A8" w:rsidRPr="00612577">
              <w:rPr>
                <w:i/>
                <w:iCs/>
                <w:vertAlign w:val="subscript"/>
              </w:rPr>
              <w:t>1</w:t>
            </w:r>
            <w:r w:rsidR="00F477A8" w:rsidRPr="00612577">
              <w:rPr>
                <w:i/>
                <w:iCs/>
              </w:rPr>
              <w:t>X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t xml:space="preserve"> 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1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1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rPr>
                <w:vertAlign w:val="subscript"/>
              </w:rPr>
              <w:t xml:space="preserve"> </w:t>
            </w:r>
            <w:r w:rsidR="00F477A8" w:rsidRPr="00612577">
              <w:t xml:space="preserve">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2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2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t xml:space="preserve"> 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3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3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rPr>
                <w:i/>
                <w:iCs/>
              </w:rPr>
              <w:t xml:space="preserve"> </w:t>
            </w:r>
            <w:r w:rsidR="00F477A8" w:rsidRPr="00612577">
              <w:t xml:space="preserve">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4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4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6D1E0593" w14:textId="1828F666" w:rsidR="00F477A8" w:rsidRDefault="00583F3B" w:rsidP="00F477A8">
            <w:pPr>
              <w:spacing w:line="480" w:lineRule="auto"/>
            </w:pPr>
            <w:r>
              <w:t>(1)</w:t>
            </w:r>
          </w:p>
        </w:tc>
      </w:tr>
      <w:tr w:rsidR="00F477A8" w14:paraId="73663715" w14:textId="77777777" w:rsidTr="00DC3842">
        <w:tc>
          <w:tcPr>
            <w:tcW w:w="350" w:type="pct"/>
          </w:tcPr>
          <w:p w14:paraId="3B83A01F" w14:textId="77777777" w:rsidR="00F477A8" w:rsidRDefault="00F477A8" w:rsidP="00F477A8">
            <w:pPr>
              <w:spacing w:line="480" w:lineRule="auto"/>
            </w:pPr>
          </w:p>
        </w:tc>
        <w:tc>
          <w:tcPr>
            <w:tcW w:w="4300" w:type="pct"/>
          </w:tcPr>
          <w:p w14:paraId="43A29FED" w14:textId="03BEABC3" w:rsidR="00F477A8" w:rsidRDefault="00000000" w:rsidP="00F477A8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cs="Cambria Math"/>
                    </w:rPr>
                    <m:t>2i</m:t>
                  </m:r>
                </m:sub>
              </m:sSub>
            </m:oMath>
            <w:r w:rsidR="00F477A8" w:rsidRPr="00612577">
              <w:rPr>
                <w:rFonts w:ascii="Cambria Math" w:hAnsi="Cambria Math" w:cs="Cambria Math"/>
              </w:rPr>
              <w:t xml:space="preserve"> = 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i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M2</w:t>
            </w:r>
            <w:r w:rsidR="00F477A8" w:rsidRPr="00612577">
              <w:rPr>
                <w:rFonts w:ascii="Cambria Math" w:hAnsi="Cambria Math" w:cs="Cambria Math"/>
              </w:rPr>
              <w:t xml:space="preserve"> + 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a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X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rPr>
                <w:rFonts w:ascii="Cambria Math" w:hAnsi="Cambria Math" w:cs="Cambria Math"/>
              </w:rPr>
              <w:t xml:space="preserve"> + 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1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1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 xml:space="preserve">𝑖 </w:t>
            </w:r>
            <w:r w:rsidR="00F477A8" w:rsidRPr="00612577">
              <w:rPr>
                <w:rFonts w:ascii="Cambria Math" w:hAnsi="Cambria Math" w:cs="Cambria Math"/>
              </w:rPr>
              <w:t xml:space="preserve">+ 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rPr>
                <w:rFonts w:ascii="Cambria Math" w:hAnsi="Cambria Math" w:cs="Cambria Math"/>
              </w:rPr>
              <w:t xml:space="preserve"> + 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3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3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="00F477A8" w:rsidRPr="00612577">
              <w:rPr>
                <w:rFonts w:ascii="Cambria Math" w:hAnsi="Cambria Math" w:cs="Cambria Math"/>
              </w:rPr>
              <w:t xml:space="preserve">+ 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4</w:t>
            </w:r>
            <w:r w:rsidR="00F477A8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F477A8" w:rsidRPr="00612577">
              <w:rPr>
                <w:rFonts w:ascii="Cambria Math" w:hAnsi="Cambria Math" w:cs="Cambria Math"/>
                <w:i/>
                <w:iCs/>
                <w:vertAlign w:val="subscript"/>
              </w:rPr>
              <w:t>4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50DE18B2" w14:textId="75E7812A" w:rsidR="00F477A8" w:rsidRDefault="00583F3B" w:rsidP="00F477A8">
            <w:pPr>
              <w:spacing w:line="480" w:lineRule="auto"/>
            </w:pPr>
            <w:r>
              <w:t>(2)</w:t>
            </w:r>
          </w:p>
        </w:tc>
      </w:tr>
      <w:tr w:rsidR="00F477A8" w14:paraId="00A65D87" w14:textId="77777777" w:rsidTr="00DC3842">
        <w:tc>
          <w:tcPr>
            <w:tcW w:w="350" w:type="pct"/>
          </w:tcPr>
          <w:p w14:paraId="335C1957" w14:textId="77777777" w:rsidR="00F477A8" w:rsidRDefault="00F477A8" w:rsidP="00F477A8">
            <w:pPr>
              <w:spacing w:line="480" w:lineRule="auto"/>
            </w:pPr>
          </w:p>
        </w:tc>
        <w:tc>
          <w:tcPr>
            <w:tcW w:w="4300" w:type="pct"/>
          </w:tcPr>
          <w:p w14:paraId="6F44EA0E" w14:textId="44D000D3" w:rsidR="00F477A8" w:rsidRDefault="00000000" w:rsidP="00F477A8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3i</m:t>
                  </m:r>
                </m:sub>
              </m:sSub>
            </m:oMath>
            <w:r w:rsidR="00F477A8" w:rsidRPr="00612577">
              <w:t xml:space="preserve"> = </w:t>
            </w:r>
            <w:r w:rsidR="00F477A8" w:rsidRPr="00612577">
              <w:rPr>
                <w:i/>
                <w:iCs/>
              </w:rPr>
              <w:t>i</w:t>
            </w:r>
            <w:r w:rsidR="00F477A8" w:rsidRPr="00612577">
              <w:rPr>
                <w:i/>
                <w:iCs/>
                <w:vertAlign w:val="subscript"/>
              </w:rPr>
              <w:t>M3</w:t>
            </w:r>
            <w:r w:rsidR="00F477A8" w:rsidRPr="00612577">
              <w:t xml:space="preserve"> + </w:t>
            </w:r>
            <w:r w:rsidR="00F477A8" w:rsidRPr="00612577">
              <w:rPr>
                <w:i/>
                <w:iCs/>
              </w:rPr>
              <w:t>a</w:t>
            </w:r>
            <w:r w:rsidR="00F477A8" w:rsidRPr="00612577">
              <w:rPr>
                <w:i/>
                <w:iCs/>
                <w:vertAlign w:val="subscript"/>
              </w:rPr>
              <w:t>3</w:t>
            </w:r>
            <w:r w:rsidR="00F477A8" w:rsidRPr="00612577">
              <w:rPr>
                <w:i/>
                <w:iCs/>
              </w:rPr>
              <w:t>X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t xml:space="preserve"> 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1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1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rPr>
                <w:vertAlign w:val="subscript"/>
              </w:rPr>
              <w:t xml:space="preserve"> </w:t>
            </w:r>
            <w:r w:rsidR="00F477A8" w:rsidRPr="00612577">
              <w:t xml:space="preserve">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2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2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t xml:space="preserve"> 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3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3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F477A8" w:rsidRPr="00612577">
              <w:rPr>
                <w:i/>
                <w:iCs/>
              </w:rPr>
              <w:t xml:space="preserve"> </w:t>
            </w:r>
            <w:r w:rsidR="00F477A8" w:rsidRPr="00612577">
              <w:t xml:space="preserve">+ 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4</w:t>
            </w:r>
            <w:r w:rsidR="00F477A8" w:rsidRPr="00612577">
              <w:rPr>
                <w:i/>
                <w:iCs/>
              </w:rPr>
              <w:t>U</w:t>
            </w:r>
            <w:r w:rsidR="00F477A8" w:rsidRPr="00612577">
              <w:rPr>
                <w:i/>
                <w:iCs/>
                <w:vertAlign w:val="subscript"/>
              </w:rPr>
              <w:t>4</w:t>
            </w:r>
            <w:r w:rsidR="00F477A8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41D417EB" w14:textId="2590087E" w:rsidR="00F477A8" w:rsidRDefault="00583F3B" w:rsidP="00F477A8">
            <w:pPr>
              <w:spacing w:line="480" w:lineRule="auto"/>
            </w:pPr>
            <w:r>
              <w:t>(3)</w:t>
            </w:r>
          </w:p>
        </w:tc>
      </w:tr>
      <w:tr w:rsidR="00F477A8" w14:paraId="3E10B89C" w14:textId="77777777" w:rsidTr="00DC3842">
        <w:tc>
          <w:tcPr>
            <w:tcW w:w="350" w:type="pct"/>
          </w:tcPr>
          <w:p w14:paraId="095EBEA4" w14:textId="77777777" w:rsidR="00F477A8" w:rsidRDefault="00F477A8" w:rsidP="00F477A8">
            <w:pPr>
              <w:spacing w:line="480" w:lineRule="auto"/>
            </w:pPr>
          </w:p>
        </w:tc>
        <w:tc>
          <w:tcPr>
            <w:tcW w:w="4300" w:type="pct"/>
          </w:tcPr>
          <w:p w14:paraId="12C44EB5" w14:textId="7ABC8633" w:rsidR="00F477A8" w:rsidRDefault="00F477A8" w:rsidP="00F477A8">
            <w:pPr>
              <w:spacing w:line="480" w:lineRule="auto"/>
              <w:jc w:val="center"/>
            </w:pPr>
            <w:r w:rsidRPr="00612577">
              <w:rPr>
                <w:i/>
                <w:iCs/>
              </w:rPr>
              <w:t>Ŷ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= </w:t>
            </w:r>
            <w:proofErr w:type="spellStart"/>
            <w:r w:rsidRPr="00612577">
              <w:rPr>
                <w:i/>
                <w:iCs/>
              </w:rPr>
              <w:t>i</w:t>
            </w:r>
            <w:r w:rsidRPr="00612577">
              <w:rPr>
                <w:i/>
                <w:iCs/>
                <w:vertAlign w:val="subscript"/>
              </w:rPr>
              <w:t>Y</w:t>
            </w:r>
            <w:proofErr w:type="spellEnd"/>
            <w:r w:rsidRPr="00612577">
              <w:t xml:space="preserve"> + </w:t>
            </w:r>
            <w:proofErr w:type="spellStart"/>
            <w:r w:rsidRPr="00612577">
              <w:rPr>
                <w:i/>
                <w:iCs/>
              </w:rPr>
              <w:t>c’X</w:t>
            </w:r>
            <w:proofErr w:type="spellEnd"/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1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1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2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2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3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3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1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1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rPr>
                <w:vertAlign w:val="subscript"/>
              </w:rPr>
              <w:t xml:space="preserve"> </w:t>
            </w:r>
            <w:r w:rsidRPr="00612577">
              <w:t xml:space="preserve">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2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2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3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3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rPr>
                <w:i/>
                <w:iCs/>
              </w:rPr>
              <w:t xml:space="preserve"> </w:t>
            </w:r>
            <w:r w:rsidRPr="00612577">
              <w:t xml:space="preserve">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4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4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100C2C6B" w14:textId="4D6622EA" w:rsidR="00F477A8" w:rsidRDefault="00583F3B" w:rsidP="00F477A8">
            <w:pPr>
              <w:spacing w:line="480" w:lineRule="auto"/>
            </w:pPr>
            <w:r>
              <w:t>(4)</w:t>
            </w:r>
          </w:p>
        </w:tc>
      </w:tr>
    </w:tbl>
    <w:p w14:paraId="1A2F519E" w14:textId="74D0A6CF" w:rsidR="00BA4D67" w:rsidRDefault="004833BB" w:rsidP="005D2826">
      <w:pPr>
        <w:spacing w:line="480" w:lineRule="auto"/>
      </w:pPr>
      <w:r>
        <w:t xml:space="preserve">In the above equations, the uppercase letters represent variables, the lowercase letters appearing next to the uppercase letters represent regression coefficients, and the </w:t>
      </w:r>
      <w:proofErr w:type="spellStart"/>
      <w:r>
        <w:rPr>
          <w:i/>
          <w:iCs/>
        </w:rPr>
        <w:t>i</w:t>
      </w:r>
      <w:proofErr w:type="spellEnd"/>
      <w:r>
        <w:t xml:space="preserve"> terms represent the intercept for each equation. The </w:t>
      </w:r>
      <w:r>
        <w:rPr>
          <w:i/>
          <w:iCs/>
        </w:rPr>
        <w:t>i</w:t>
      </w:r>
      <w:r>
        <w:t>s</w:t>
      </w:r>
      <w:r>
        <w:rPr>
          <w:i/>
          <w:iCs/>
        </w:rPr>
        <w:t xml:space="preserve"> </w:t>
      </w:r>
      <w:r>
        <w:t>that appear in the subscripts of the variables indicate that these are the</w:t>
      </w:r>
      <w:r w:rsidR="00E824A7">
        <w:t xml:space="preserve"> variable</w:t>
      </w:r>
      <w:r>
        <w:t xml:space="preserve"> values for observation </w:t>
      </w:r>
      <w:proofErr w:type="spellStart"/>
      <w:r>
        <w:rPr>
          <w:i/>
          <w:iCs/>
        </w:rPr>
        <w:t>i</w:t>
      </w:r>
      <w:proofErr w:type="spellEnd"/>
      <w:r>
        <w:t>,</w:t>
      </w:r>
      <w:r w:rsidRPr="004833BB">
        <w:t xml:space="preserve"> </w:t>
      </w:r>
      <w:r>
        <w:t xml:space="preserve">and the hat notation above the variable that appears on the left side of each equation indicates that </w:t>
      </w:r>
      <w:r w:rsidR="00703CE3">
        <w:t xml:space="preserve">it is the estimated value of that variable generated by the regression line. </w:t>
      </w:r>
      <w:r w:rsidR="001574C2" w:rsidRPr="004833BB">
        <w:t xml:space="preserve">Equation </w:t>
      </w:r>
      <w:r w:rsidR="001574C2">
        <w:t xml:space="preserve">1 is the equation for </w:t>
      </w:r>
      <w:r w:rsidR="005801E8">
        <w:t xml:space="preserve">wave 2 </w:t>
      </w:r>
      <w:r w:rsidR="00161ABD">
        <w:t>ethnic</w:t>
      </w:r>
      <w:r w:rsidR="005801E8">
        <w:t xml:space="preserve"> centrality (</w:t>
      </w:r>
      <w:r w:rsidR="005801E8" w:rsidRPr="00612577">
        <w:rPr>
          <w:i/>
          <w:iCs/>
        </w:rPr>
        <w:t>M</w:t>
      </w:r>
      <w:r w:rsidR="005801E8" w:rsidRPr="00612577">
        <w:rPr>
          <w:vertAlign w:val="subscript"/>
        </w:rPr>
        <w:t>1</w:t>
      </w:r>
      <w:r w:rsidR="005801E8">
        <w:t xml:space="preserve">), Equation 2 is for wave 2 </w:t>
      </w:r>
      <w:r w:rsidR="00161ABD">
        <w:t>ethnic</w:t>
      </w:r>
      <w:r w:rsidR="005801E8">
        <w:t xml:space="preserve"> private regard (</w:t>
      </w:r>
      <w:r w:rsidR="005801E8" w:rsidRPr="00612577">
        <w:rPr>
          <w:i/>
          <w:iCs/>
        </w:rPr>
        <w:t>M</w:t>
      </w:r>
      <w:r w:rsidR="005801E8" w:rsidRPr="00612577">
        <w:rPr>
          <w:vertAlign w:val="subscript"/>
        </w:rPr>
        <w:t>2</w:t>
      </w:r>
      <w:r w:rsidR="005801E8">
        <w:t xml:space="preserve">), Equation 3 is for </w:t>
      </w:r>
      <w:r w:rsidR="00161ABD">
        <w:t>ethnic</w:t>
      </w:r>
      <w:r w:rsidR="005801E8">
        <w:t xml:space="preserve"> public regard (</w:t>
      </w:r>
      <w:r w:rsidR="005801E8" w:rsidRPr="00612577">
        <w:rPr>
          <w:i/>
          <w:iCs/>
        </w:rPr>
        <w:t>M</w:t>
      </w:r>
      <w:r w:rsidR="005801E8" w:rsidRPr="00612577">
        <w:rPr>
          <w:vertAlign w:val="subscript"/>
        </w:rPr>
        <w:t>3</w:t>
      </w:r>
      <w:r w:rsidR="005801E8">
        <w:t>), and Equation 4 is for wave 2 self-esteem (</w:t>
      </w:r>
      <w:r w:rsidR="005801E8">
        <w:rPr>
          <w:i/>
          <w:iCs/>
        </w:rPr>
        <w:t>Y</w:t>
      </w:r>
      <w:r w:rsidR="005801E8">
        <w:t>).</w:t>
      </w:r>
      <w:r w:rsidR="00BA4D67">
        <w:t xml:space="preserve"> </w:t>
      </w:r>
      <w:r w:rsidR="00D34E97">
        <w:t>wave 1</w:t>
      </w:r>
      <w:r w:rsidR="00BA4D67">
        <w:t xml:space="preserve"> </w:t>
      </w:r>
      <w:r w:rsidR="00161ABD">
        <w:t>ethnic</w:t>
      </w:r>
      <w:r w:rsidR="00BA4D67">
        <w:t xml:space="preserve"> centrality, wave 1 </w:t>
      </w:r>
      <w:r w:rsidR="00161ABD">
        <w:t>ethnic</w:t>
      </w:r>
      <w:r w:rsidR="00BA4D67">
        <w:t xml:space="preserve"> private regard, wave 1 </w:t>
      </w:r>
      <w:r w:rsidR="00161ABD">
        <w:t>ethnic</w:t>
      </w:r>
      <w:r w:rsidR="00BA4D67">
        <w:t xml:space="preserve"> public regard, and wave 1 self-esteem are represented in the equations by </w:t>
      </w:r>
      <w:r w:rsidR="00BA4D67" w:rsidRPr="00612577">
        <w:rPr>
          <w:i/>
          <w:iCs/>
        </w:rPr>
        <w:t>U</w:t>
      </w:r>
      <w:r w:rsidR="00BA4D67" w:rsidRPr="00612577">
        <w:rPr>
          <w:i/>
          <w:iCs/>
          <w:vertAlign w:val="subscript"/>
        </w:rPr>
        <w:t>1</w:t>
      </w:r>
      <w:r w:rsidR="00BA4D67" w:rsidRPr="00BA4D67">
        <w:t>,</w:t>
      </w:r>
      <w:r w:rsidR="00BA4D67">
        <w:t xml:space="preserve"> </w:t>
      </w:r>
      <w:r w:rsidR="00BA4D67" w:rsidRPr="00612577">
        <w:rPr>
          <w:i/>
          <w:iCs/>
        </w:rPr>
        <w:t>U</w:t>
      </w:r>
      <w:r w:rsidR="00BA4D67">
        <w:rPr>
          <w:i/>
          <w:iCs/>
          <w:vertAlign w:val="subscript"/>
        </w:rPr>
        <w:t>2</w:t>
      </w:r>
      <w:r w:rsidR="00BA4D67" w:rsidRPr="00BA4D67">
        <w:t>,</w:t>
      </w:r>
      <w:r w:rsidR="00BA4D67" w:rsidRPr="00BA4D67">
        <w:rPr>
          <w:i/>
          <w:iCs/>
        </w:rPr>
        <w:t xml:space="preserve"> </w:t>
      </w:r>
      <w:r w:rsidR="00BA4D67" w:rsidRPr="00612577">
        <w:rPr>
          <w:i/>
          <w:iCs/>
        </w:rPr>
        <w:t>U</w:t>
      </w:r>
      <w:r w:rsidR="00BA4D67">
        <w:rPr>
          <w:i/>
          <w:iCs/>
          <w:vertAlign w:val="subscript"/>
        </w:rPr>
        <w:t>3</w:t>
      </w:r>
      <w:r w:rsidR="00BA4D67" w:rsidRPr="00BA4D67">
        <w:t>,</w:t>
      </w:r>
      <w:r w:rsidR="00BA4D67">
        <w:t xml:space="preserve"> and</w:t>
      </w:r>
      <w:r w:rsidR="00BA4D67" w:rsidRPr="00BA4D67">
        <w:rPr>
          <w:i/>
          <w:iCs/>
        </w:rPr>
        <w:t xml:space="preserve"> </w:t>
      </w:r>
      <w:r w:rsidR="00BA4D67" w:rsidRPr="00612577">
        <w:rPr>
          <w:i/>
          <w:iCs/>
        </w:rPr>
        <w:t>U</w:t>
      </w:r>
      <w:r w:rsidR="00BA4D67">
        <w:rPr>
          <w:i/>
          <w:iCs/>
          <w:vertAlign w:val="subscript"/>
        </w:rPr>
        <w:t>4</w:t>
      </w:r>
      <w:r w:rsidR="00BA4D67" w:rsidRPr="00BA4D67">
        <w:t>,</w:t>
      </w:r>
      <w:r w:rsidR="00BA4D67">
        <w:t xml:space="preserve"> respectively.</w:t>
      </w:r>
      <w:r w:rsidR="008F3E31">
        <w:t xml:space="preserve"> Note that </w:t>
      </w:r>
      <w:r w:rsidR="008F3E31" w:rsidRPr="00612577">
        <w:rPr>
          <w:i/>
          <w:iCs/>
        </w:rPr>
        <w:t>U</w:t>
      </w:r>
      <w:r w:rsidR="008F3E31" w:rsidRPr="00612577">
        <w:rPr>
          <w:i/>
          <w:iCs/>
          <w:vertAlign w:val="subscript"/>
        </w:rPr>
        <w:t>1</w:t>
      </w:r>
      <w:r w:rsidR="008F3E31" w:rsidRPr="00BA4D67">
        <w:t>,</w:t>
      </w:r>
      <w:r w:rsidR="008F3E31">
        <w:t xml:space="preserve"> </w:t>
      </w:r>
      <w:r w:rsidR="008F3E31" w:rsidRPr="00612577">
        <w:rPr>
          <w:i/>
          <w:iCs/>
        </w:rPr>
        <w:t>U</w:t>
      </w:r>
      <w:r w:rsidR="008F3E31">
        <w:rPr>
          <w:i/>
          <w:iCs/>
          <w:vertAlign w:val="subscript"/>
        </w:rPr>
        <w:t>2</w:t>
      </w:r>
      <w:r w:rsidR="008F3E31" w:rsidRPr="00BA4D67">
        <w:t>,</w:t>
      </w:r>
      <w:r w:rsidR="008F3E31" w:rsidRPr="00BA4D67">
        <w:rPr>
          <w:i/>
          <w:iCs/>
        </w:rPr>
        <w:t xml:space="preserve"> </w:t>
      </w:r>
      <w:r w:rsidR="008F3E31" w:rsidRPr="00612577">
        <w:rPr>
          <w:i/>
          <w:iCs/>
        </w:rPr>
        <w:t>U</w:t>
      </w:r>
      <w:r w:rsidR="008F3E31">
        <w:rPr>
          <w:i/>
          <w:iCs/>
          <w:vertAlign w:val="subscript"/>
        </w:rPr>
        <w:t>3</w:t>
      </w:r>
      <w:r w:rsidR="008F3E31" w:rsidRPr="00BA4D67">
        <w:t>,</w:t>
      </w:r>
      <w:r w:rsidR="008F3E31">
        <w:t xml:space="preserve"> and</w:t>
      </w:r>
      <w:r w:rsidR="008F3E31" w:rsidRPr="00BA4D67">
        <w:rPr>
          <w:i/>
          <w:iCs/>
        </w:rPr>
        <w:t xml:space="preserve"> </w:t>
      </w:r>
      <w:r w:rsidR="008F3E31" w:rsidRPr="00612577">
        <w:rPr>
          <w:i/>
          <w:iCs/>
        </w:rPr>
        <w:t>U</w:t>
      </w:r>
      <w:r w:rsidR="008F3E31">
        <w:rPr>
          <w:i/>
          <w:iCs/>
          <w:vertAlign w:val="subscript"/>
        </w:rPr>
        <w:t>4</w:t>
      </w:r>
      <w:r w:rsidR="008F3E31">
        <w:t xml:space="preserve"> all appear in all four equations above. Alternatively, </w:t>
      </w:r>
      <w:r w:rsidR="008F3E31">
        <w:lastRenderedPageBreak/>
        <w:t>we could have included in each equation only the wave 1 variable that corresponded to the outcome variable of that equation. This model is represented by the following four equations: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56"/>
        <w:gridCol w:w="704"/>
      </w:tblGrid>
      <w:tr w:rsidR="008F3E31" w14:paraId="109019DF" w14:textId="77777777" w:rsidTr="00F33D91">
        <w:tc>
          <w:tcPr>
            <w:tcW w:w="4300" w:type="pct"/>
          </w:tcPr>
          <w:p w14:paraId="2B4EA0C0" w14:textId="7A7A9685" w:rsidR="008F3E31" w:rsidRDefault="00000000" w:rsidP="00F33D91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1i</m:t>
                  </m:r>
                </m:sub>
              </m:sSub>
            </m:oMath>
            <w:r w:rsidR="008F3E31" w:rsidRPr="00612577">
              <w:t xml:space="preserve"> = </w:t>
            </w:r>
            <w:r w:rsidR="008F3E31" w:rsidRPr="00612577">
              <w:rPr>
                <w:i/>
                <w:iCs/>
              </w:rPr>
              <w:t>i</w:t>
            </w:r>
            <w:r w:rsidR="008F3E31" w:rsidRPr="00612577">
              <w:rPr>
                <w:i/>
                <w:iCs/>
                <w:vertAlign w:val="subscript"/>
              </w:rPr>
              <w:t>M1</w:t>
            </w:r>
            <w:r w:rsidR="008F3E31" w:rsidRPr="00612577">
              <w:t xml:space="preserve"> + </w:t>
            </w:r>
            <w:r w:rsidR="008F3E31" w:rsidRPr="00612577">
              <w:rPr>
                <w:i/>
                <w:iCs/>
              </w:rPr>
              <w:t>a</w:t>
            </w:r>
            <w:r w:rsidR="008F3E31" w:rsidRPr="00612577">
              <w:rPr>
                <w:i/>
                <w:iCs/>
                <w:vertAlign w:val="subscript"/>
              </w:rPr>
              <w:t>1</w:t>
            </w:r>
            <w:r w:rsidR="008F3E31" w:rsidRPr="00612577">
              <w:rPr>
                <w:i/>
                <w:iCs/>
              </w:rPr>
              <w:t>X</w:t>
            </w:r>
            <w:r w:rsidR="008F3E31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8F3E31" w:rsidRPr="00612577">
              <w:t xml:space="preserve"> + </w:t>
            </w:r>
            <w:r w:rsidR="008F3E31" w:rsidRPr="00612577">
              <w:rPr>
                <w:i/>
                <w:iCs/>
              </w:rPr>
              <w:t>u</w:t>
            </w:r>
            <w:r w:rsidR="008F3E31" w:rsidRPr="00612577">
              <w:rPr>
                <w:i/>
                <w:iCs/>
                <w:vertAlign w:val="subscript"/>
              </w:rPr>
              <w:t>1</w:t>
            </w:r>
            <w:r w:rsidR="008F3E31" w:rsidRPr="00612577">
              <w:rPr>
                <w:i/>
                <w:iCs/>
              </w:rPr>
              <w:t>U</w:t>
            </w:r>
            <w:r w:rsidR="008F3E31" w:rsidRPr="00612577">
              <w:rPr>
                <w:i/>
                <w:iCs/>
                <w:vertAlign w:val="subscript"/>
              </w:rPr>
              <w:t>1</w:t>
            </w:r>
            <w:r w:rsidR="008F3E31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8F3E31" w:rsidRPr="00612577">
              <w:rPr>
                <w:vertAlign w:val="subscript"/>
              </w:rPr>
              <w:t xml:space="preserve"> </w:t>
            </w:r>
          </w:p>
        </w:tc>
        <w:tc>
          <w:tcPr>
            <w:tcW w:w="350" w:type="pct"/>
          </w:tcPr>
          <w:p w14:paraId="0279AA8A" w14:textId="5B119712" w:rsidR="008F3E31" w:rsidRDefault="008F3E31" w:rsidP="00F33D91">
            <w:pPr>
              <w:spacing w:line="480" w:lineRule="auto"/>
            </w:pPr>
            <w:r>
              <w:t>(5)</w:t>
            </w:r>
          </w:p>
        </w:tc>
      </w:tr>
      <w:tr w:rsidR="008F3E31" w14:paraId="45158B96" w14:textId="77777777" w:rsidTr="00F33D91">
        <w:tc>
          <w:tcPr>
            <w:tcW w:w="4300" w:type="pct"/>
          </w:tcPr>
          <w:p w14:paraId="033D3A2A" w14:textId="6F7A0FD9" w:rsidR="008F3E31" w:rsidRDefault="00000000" w:rsidP="00F33D91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cs="Cambria Math"/>
                    </w:rPr>
                    <m:t>2i</m:t>
                  </m:r>
                </m:sub>
              </m:sSub>
            </m:oMath>
            <w:r w:rsidR="008F3E31" w:rsidRPr="00612577">
              <w:rPr>
                <w:rFonts w:ascii="Cambria Math" w:hAnsi="Cambria Math" w:cs="Cambria Math"/>
              </w:rPr>
              <w:t xml:space="preserve"> = </w:t>
            </w:r>
            <w:r w:rsidR="008F3E31" w:rsidRPr="00612577">
              <w:rPr>
                <w:rFonts w:ascii="Cambria Math" w:hAnsi="Cambria Math" w:cs="Cambria Math"/>
                <w:i/>
                <w:iCs/>
              </w:rPr>
              <w:t>i</w:t>
            </w:r>
            <w:r w:rsidR="008F3E31" w:rsidRPr="00612577">
              <w:rPr>
                <w:rFonts w:ascii="Cambria Math" w:hAnsi="Cambria Math" w:cs="Cambria Math"/>
                <w:i/>
                <w:iCs/>
                <w:vertAlign w:val="subscript"/>
              </w:rPr>
              <w:t>M2</w:t>
            </w:r>
            <w:r w:rsidR="008F3E31" w:rsidRPr="00612577">
              <w:rPr>
                <w:rFonts w:ascii="Cambria Math" w:hAnsi="Cambria Math" w:cs="Cambria Math"/>
              </w:rPr>
              <w:t xml:space="preserve"> + </w:t>
            </w:r>
            <w:r w:rsidR="008F3E31" w:rsidRPr="00612577">
              <w:rPr>
                <w:rFonts w:ascii="Cambria Math" w:hAnsi="Cambria Math" w:cs="Cambria Math"/>
                <w:i/>
                <w:iCs/>
              </w:rPr>
              <w:t>a</w:t>
            </w:r>
            <w:r w:rsidR="008F3E31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8F3E31" w:rsidRPr="00612577">
              <w:rPr>
                <w:rFonts w:ascii="Cambria Math" w:hAnsi="Cambria Math" w:cs="Cambria Math"/>
                <w:i/>
                <w:iCs/>
              </w:rPr>
              <w:t>X</w:t>
            </w:r>
            <w:r w:rsidR="008F3E31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8F3E31" w:rsidRPr="00612577">
              <w:rPr>
                <w:rFonts w:ascii="Cambria Math" w:hAnsi="Cambria Math" w:cs="Cambria Math"/>
              </w:rPr>
              <w:t xml:space="preserve"> + </w:t>
            </w:r>
            <w:r w:rsidR="008F3E31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8F3E31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8F3E31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8F3E31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8F3E31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5EECFF93" w14:textId="665214B5" w:rsidR="008F3E31" w:rsidRDefault="008F3E31" w:rsidP="00F33D91">
            <w:pPr>
              <w:spacing w:line="480" w:lineRule="auto"/>
            </w:pPr>
            <w:r>
              <w:t>(6)</w:t>
            </w:r>
          </w:p>
        </w:tc>
      </w:tr>
      <w:tr w:rsidR="008F3E31" w14:paraId="67AAF11D" w14:textId="77777777" w:rsidTr="00F33D91">
        <w:tc>
          <w:tcPr>
            <w:tcW w:w="4300" w:type="pct"/>
          </w:tcPr>
          <w:p w14:paraId="6698DA86" w14:textId="6B41B67B" w:rsidR="008F3E31" w:rsidRDefault="00000000" w:rsidP="00F33D91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3i</m:t>
                  </m:r>
                </m:sub>
              </m:sSub>
            </m:oMath>
            <w:r w:rsidR="008F3E31" w:rsidRPr="00612577">
              <w:t xml:space="preserve"> = </w:t>
            </w:r>
            <w:r w:rsidR="008F3E31" w:rsidRPr="00612577">
              <w:rPr>
                <w:i/>
                <w:iCs/>
              </w:rPr>
              <w:t>i</w:t>
            </w:r>
            <w:r w:rsidR="008F3E31" w:rsidRPr="00612577">
              <w:rPr>
                <w:i/>
                <w:iCs/>
                <w:vertAlign w:val="subscript"/>
              </w:rPr>
              <w:t>M3</w:t>
            </w:r>
            <w:r w:rsidR="008F3E31" w:rsidRPr="00612577">
              <w:t xml:space="preserve"> + </w:t>
            </w:r>
            <w:r w:rsidR="008F3E31" w:rsidRPr="00612577">
              <w:rPr>
                <w:i/>
                <w:iCs/>
              </w:rPr>
              <w:t>a</w:t>
            </w:r>
            <w:r w:rsidR="008F3E31" w:rsidRPr="00612577">
              <w:rPr>
                <w:i/>
                <w:iCs/>
                <w:vertAlign w:val="subscript"/>
              </w:rPr>
              <w:t>3</w:t>
            </w:r>
            <w:r w:rsidR="008F3E31" w:rsidRPr="00612577">
              <w:rPr>
                <w:i/>
                <w:iCs/>
              </w:rPr>
              <w:t>X</w:t>
            </w:r>
            <w:r w:rsidR="008F3E31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8F3E31" w:rsidRPr="00612577">
              <w:t xml:space="preserve"> + </w:t>
            </w:r>
            <w:r w:rsidR="008F3E31" w:rsidRPr="00612577">
              <w:rPr>
                <w:i/>
                <w:iCs/>
              </w:rPr>
              <w:t>u</w:t>
            </w:r>
            <w:r w:rsidR="008F3E31" w:rsidRPr="00612577">
              <w:rPr>
                <w:i/>
                <w:iCs/>
                <w:vertAlign w:val="subscript"/>
              </w:rPr>
              <w:t>3</w:t>
            </w:r>
            <w:r w:rsidR="008F3E31" w:rsidRPr="00612577">
              <w:rPr>
                <w:i/>
                <w:iCs/>
              </w:rPr>
              <w:t>U</w:t>
            </w:r>
            <w:r w:rsidR="008F3E31" w:rsidRPr="00612577">
              <w:rPr>
                <w:i/>
                <w:iCs/>
                <w:vertAlign w:val="subscript"/>
              </w:rPr>
              <w:t>3</w:t>
            </w:r>
            <w:r w:rsidR="008F3E31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11042923" w14:textId="46DCB376" w:rsidR="008F3E31" w:rsidRDefault="008F3E31" w:rsidP="00F33D91">
            <w:pPr>
              <w:spacing w:line="480" w:lineRule="auto"/>
            </w:pPr>
            <w:r>
              <w:t>(7)</w:t>
            </w:r>
          </w:p>
        </w:tc>
      </w:tr>
      <w:tr w:rsidR="008F3E31" w14:paraId="73291DB6" w14:textId="77777777" w:rsidTr="00F33D91">
        <w:tc>
          <w:tcPr>
            <w:tcW w:w="4300" w:type="pct"/>
          </w:tcPr>
          <w:p w14:paraId="23F0D7BA" w14:textId="53026EC4" w:rsidR="008F3E31" w:rsidRDefault="008F3E31" w:rsidP="00F33D91">
            <w:pPr>
              <w:spacing w:line="480" w:lineRule="auto"/>
              <w:jc w:val="center"/>
            </w:pPr>
            <w:r w:rsidRPr="00612577">
              <w:rPr>
                <w:i/>
                <w:iCs/>
              </w:rPr>
              <w:t>Ŷ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= </w:t>
            </w:r>
            <w:proofErr w:type="spellStart"/>
            <w:r w:rsidRPr="00612577">
              <w:rPr>
                <w:i/>
                <w:iCs/>
              </w:rPr>
              <w:t>i</w:t>
            </w:r>
            <w:r w:rsidRPr="00612577">
              <w:rPr>
                <w:i/>
                <w:iCs/>
                <w:vertAlign w:val="subscript"/>
              </w:rPr>
              <w:t>Y</w:t>
            </w:r>
            <w:proofErr w:type="spellEnd"/>
            <w:r w:rsidRPr="00612577">
              <w:t xml:space="preserve"> + </w:t>
            </w:r>
            <w:proofErr w:type="spellStart"/>
            <w:r w:rsidRPr="00612577">
              <w:rPr>
                <w:i/>
                <w:iCs/>
              </w:rPr>
              <w:t>c’X</w:t>
            </w:r>
            <w:proofErr w:type="spellEnd"/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1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1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2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2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3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3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4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4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6990CD84" w14:textId="2051883C" w:rsidR="008F3E31" w:rsidRDefault="008F3E31" w:rsidP="00F33D91">
            <w:pPr>
              <w:spacing w:line="480" w:lineRule="auto"/>
            </w:pPr>
            <w:r>
              <w:t>(8)</w:t>
            </w:r>
          </w:p>
        </w:tc>
      </w:tr>
    </w:tbl>
    <w:p w14:paraId="1545A16D" w14:textId="1DA5FA46" w:rsidR="008F3E31" w:rsidRPr="008F3E31" w:rsidRDefault="004E4430" w:rsidP="005D2826">
      <w:pPr>
        <w:spacing w:line="480" w:lineRule="auto"/>
      </w:pPr>
      <w:r>
        <w:t xml:space="preserve">Here, Equation 5 contains only wave 1 </w:t>
      </w:r>
      <w:r w:rsidR="00161ABD">
        <w:t>ethnic</w:t>
      </w:r>
      <w:r>
        <w:t xml:space="preserve"> centrality (</w:t>
      </w:r>
      <w:r w:rsidRPr="00612577">
        <w:rPr>
          <w:i/>
          <w:iCs/>
        </w:rPr>
        <w:t>U</w:t>
      </w:r>
      <w:r w:rsidRPr="00612577">
        <w:rPr>
          <w:i/>
          <w:iCs/>
          <w:vertAlign w:val="subscript"/>
        </w:rPr>
        <w:t>1</w:t>
      </w:r>
      <w:r>
        <w:t xml:space="preserve">) because wave 2 </w:t>
      </w:r>
      <w:r w:rsidR="00161ABD">
        <w:t>ethnic</w:t>
      </w:r>
      <w:r>
        <w:t xml:space="preserve"> centrality (</w:t>
      </w:r>
      <w:r w:rsidRPr="00612577">
        <w:rPr>
          <w:i/>
          <w:iCs/>
        </w:rPr>
        <w:t>M</w:t>
      </w:r>
      <w:r w:rsidRPr="00612577">
        <w:rPr>
          <w:vertAlign w:val="subscript"/>
        </w:rPr>
        <w:t>1</w:t>
      </w:r>
      <w:r>
        <w:t xml:space="preserve">) is the outcome variable. Similarly, Equation 6 contains </w:t>
      </w:r>
      <w:r w:rsidR="00BF7AEB">
        <w:rPr>
          <w:i/>
          <w:iCs/>
        </w:rPr>
        <w:t>U</w:t>
      </w:r>
      <w:r w:rsidR="00BF7AEB" w:rsidRPr="00612577">
        <w:rPr>
          <w:vertAlign w:val="subscript"/>
        </w:rPr>
        <w:t>2</w:t>
      </w:r>
      <w:r w:rsidR="00BF7AEB">
        <w:rPr>
          <w:vertAlign w:val="subscript"/>
        </w:rPr>
        <w:t xml:space="preserve"> </w:t>
      </w:r>
      <w:r>
        <w:t xml:space="preserve">and </w:t>
      </w:r>
      <w:r w:rsidR="00BF7AEB" w:rsidRPr="00612577">
        <w:rPr>
          <w:i/>
          <w:iCs/>
        </w:rPr>
        <w:t>M</w:t>
      </w:r>
      <w:r w:rsidR="00BF7AEB" w:rsidRPr="00612577">
        <w:rPr>
          <w:vertAlign w:val="subscript"/>
        </w:rPr>
        <w:t>2</w:t>
      </w:r>
      <w:r>
        <w:t xml:space="preserve">, Equation 7 contains </w:t>
      </w:r>
      <w:r w:rsidR="00BF7AEB">
        <w:rPr>
          <w:i/>
          <w:iCs/>
        </w:rPr>
        <w:t>U</w:t>
      </w:r>
      <w:r w:rsidR="00BF7AEB">
        <w:rPr>
          <w:vertAlign w:val="subscript"/>
        </w:rPr>
        <w:t xml:space="preserve">3 </w:t>
      </w:r>
      <w:r w:rsidR="00BF7AEB">
        <w:t xml:space="preserve">and </w:t>
      </w:r>
      <w:r w:rsidR="00BF7AEB" w:rsidRPr="00612577">
        <w:rPr>
          <w:i/>
          <w:iCs/>
        </w:rPr>
        <w:t>M</w:t>
      </w:r>
      <w:r w:rsidR="00BF7AEB">
        <w:rPr>
          <w:vertAlign w:val="subscript"/>
        </w:rPr>
        <w:t>3</w:t>
      </w:r>
      <w:r>
        <w:t xml:space="preserve">, and Equation 8 contains </w:t>
      </w:r>
      <w:r w:rsidR="00BF7AEB">
        <w:rPr>
          <w:i/>
          <w:iCs/>
        </w:rPr>
        <w:t>U</w:t>
      </w:r>
      <w:r w:rsidR="00BF7AEB">
        <w:rPr>
          <w:vertAlign w:val="subscript"/>
        </w:rPr>
        <w:t xml:space="preserve">4 </w:t>
      </w:r>
      <w:r w:rsidR="00BF7AEB">
        <w:t xml:space="preserve">and </w:t>
      </w:r>
      <w:r w:rsidR="00371461">
        <w:rPr>
          <w:i/>
          <w:iCs/>
        </w:rPr>
        <w:t>Y</w:t>
      </w:r>
      <w:r>
        <w:t>.</w:t>
      </w:r>
      <w:r w:rsidR="00371461">
        <w:t xml:space="preserve"> Yet another alternative model we </w:t>
      </w:r>
      <w:r w:rsidR="003B6836">
        <w:t>considered</w:t>
      </w:r>
      <w:r w:rsidR="00371461">
        <w:t xml:space="preserve"> combine</w:t>
      </w:r>
      <w:r w:rsidR="003B6836">
        <w:t>d</w:t>
      </w:r>
      <w:r w:rsidR="00371461">
        <w:t xml:space="preserve"> Equations 5, 6, and 7 from the first alternative model with Equation 4 from our final model, thus only including all wave 1 covariates in the equation for wave 2 self-esteem because it is the only equation in which all wave 2 variables appear.</w:t>
      </w:r>
    </w:p>
    <w:p w14:paraId="0DD7CC9C" w14:textId="713C5F3C" w:rsidR="0022609C" w:rsidRDefault="00DF3A3F" w:rsidP="00E12A28">
      <w:pPr>
        <w:spacing w:line="480" w:lineRule="auto"/>
      </w:pPr>
      <w:r>
        <w:tab/>
      </w:r>
      <w:r w:rsidR="00BB037E">
        <w:t>The</w:t>
      </w:r>
      <w:r>
        <w:t xml:space="preserve"> two alternative imputation programs (Amelia and mice), two possible </w:t>
      </w:r>
      <w:r w:rsidR="00BB037E">
        <w:t>impute/</w:t>
      </w:r>
      <w:r>
        <w:t xml:space="preserve">bootstrap procedures (imputation-then-bootstrap and bootstrap-then-imputation), and three analysis models (all wave 1 variables in all equations, a single wave 1 variable in each equation, and all wave 1 variables in the equation for </w:t>
      </w:r>
      <w:r>
        <w:rPr>
          <w:i/>
          <w:iCs/>
        </w:rPr>
        <w:t>Y</w:t>
      </w:r>
      <w:r>
        <w:t xml:space="preserve"> with a single wave 1 variable in every other equation) </w:t>
      </w:r>
      <w:r w:rsidR="00BB037E">
        <w:t>together form</w:t>
      </w:r>
      <w:r w:rsidR="00707EB2">
        <w:t xml:space="preserve"> a total of 1</w:t>
      </w:r>
      <w:r w:rsidR="00BB037E">
        <w:t>2</w:t>
      </w:r>
      <w:r w:rsidR="00707EB2">
        <w:t xml:space="preserve"> different analyses we could have </w:t>
      </w:r>
      <w:r w:rsidR="0003367D">
        <w:t>used in our final paper</w:t>
      </w:r>
      <w:r>
        <w:t>.</w:t>
      </w:r>
      <w:r w:rsidR="00BB037E">
        <w:t xml:space="preserve"> To see if our conclusions would have changed if we </w:t>
      </w:r>
      <w:r w:rsidR="00765EB6">
        <w:t xml:space="preserve">had chosen </w:t>
      </w:r>
      <w:r w:rsidR="00BB037E">
        <w:t>one of the</w:t>
      </w:r>
      <w:r w:rsidR="00765EB6">
        <w:t>se</w:t>
      </w:r>
      <w:r w:rsidR="00BB037E">
        <w:t xml:space="preserve"> alternative </w:t>
      </w:r>
      <w:r w:rsidR="00821406">
        <w:t xml:space="preserve">analyses, we ran each one and compared their results. </w:t>
      </w:r>
      <w:r w:rsidR="003848EB">
        <w:t>The R code used to run th</w:t>
      </w:r>
      <w:r w:rsidR="00636C93">
        <w:t>is</w:t>
      </w:r>
      <w:r w:rsidR="003848EB">
        <w:t xml:space="preserve"> sensitivity analys</w:t>
      </w:r>
      <w:r w:rsidR="00636C93">
        <w:t>i</w:t>
      </w:r>
      <w:r w:rsidR="003848EB">
        <w:t xml:space="preserve">s is available at </w:t>
      </w:r>
      <w:hyperlink r:id="rId12" w:history="1">
        <w:r w:rsidR="005F26FE" w:rsidRPr="00DE18A6">
          <w:rPr>
            <w:rStyle w:val="Hyperlink"/>
          </w:rPr>
          <w:t>https://osf.io/sgx2p/</w:t>
        </w:r>
      </w:hyperlink>
      <w:r w:rsidR="003848EB">
        <w:t>, as well as</w:t>
      </w:r>
      <w:r w:rsidR="00E12A28">
        <w:t xml:space="preserve"> a .csv file containing the results of the analys</w:t>
      </w:r>
      <w:r w:rsidR="00F303B9">
        <w:t>i</w:t>
      </w:r>
      <w:r w:rsidR="00E12A28">
        <w:t xml:space="preserve">s. </w:t>
      </w:r>
    </w:p>
    <w:p w14:paraId="40936888" w14:textId="7B83E43C" w:rsidR="00AF0544" w:rsidRDefault="00CB70DF" w:rsidP="0022609C">
      <w:pPr>
        <w:spacing w:line="480" w:lineRule="auto"/>
        <w:ind w:firstLine="720"/>
      </w:pPr>
      <w:r>
        <w:t xml:space="preserve">For comparison, </w:t>
      </w:r>
      <w:r w:rsidR="00821406">
        <w:t xml:space="preserve">Table 1 contains the specific/total indirect effect estimates and their corresponding percentile bootstrap confidence intervals we found </w:t>
      </w:r>
      <w:r w:rsidR="00765EB6">
        <w:t xml:space="preserve">in our final analysis </w:t>
      </w:r>
      <w:r w:rsidR="00821406">
        <w:t xml:space="preserve">using </w:t>
      </w:r>
      <w:r w:rsidR="00821406">
        <w:lastRenderedPageBreak/>
        <w:t>Blimp with the imputation-then-bootstrap approach and Equations 1, 2, 3, and 4 that each contain all wave 1 control variables.</w:t>
      </w:r>
    </w:p>
    <w:p w14:paraId="2A041061" w14:textId="77777777" w:rsidR="00A6344A" w:rsidRPr="0063347C" w:rsidRDefault="00A6344A" w:rsidP="00A6344A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>Table 1</w:t>
      </w:r>
    </w:p>
    <w:p w14:paraId="63009FEC" w14:textId="4B21B580" w:rsidR="00A6344A" w:rsidRDefault="000C5B9D" w:rsidP="00A6344A">
      <w:pPr>
        <w:shd w:val="clear" w:color="auto" w:fill="FFFFFF"/>
        <w:spacing w:line="480" w:lineRule="auto"/>
      </w:pPr>
      <w:r>
        <w:rPr>
          <w:i/>
          <w:iCs/>
        </w:rPr>
        <w:t>Results</w:t>
      </w:r>
      <w:r w:rsidR="002B46CF">
        <w:rPr>
          <w:i/>
          <w:iCs/>
        </w:rPr>
        <w:t xml:space="preserve"> for Final Analysis with Blimp, Imputation-then-Bootstrap, and </w:t>
      </w:r>
      <w:r w:rsidR="00227356">
        <w:rPr>
          <w:i/>
          <w:iCs/>
        </w:rPr>
        <w:t>A</w:t>
      </w:r>
      <w:r w:rsidR="007E649D">
        <w:rPr>
          <w:i/>
          <w:iCs/>
        </w:rPr>
        <w:t xml:space="preserve">ll Wave 1 Variables in </w:t>
      </w:r>
      <w:r w:rsidR="00227356">
        <w:rPr>
          <w:i/>
          <w:iCs/>
        </w:rPr>
        <w:t>A</w:t>
      </w:r>
      <w:r w:rsidR="007E649D">
        <w:rPr>
          <w:i/>
          <w:iCs/>
        </w:rPr>
        <w:t>ll Equations</w:t>
      </w:r>
    </w:p>
    <w:tbl>
      <w:tblPr>
        <w:tblW w:w="9296" w:type="dxa"/>
        <w:tblLook w:val="04A0" w:firstRow="1" w:lastRow="0" w:firstColumn="1" w:lastColumn="0" w:noHBand="0" w:noVBand="1"/>
      </w:tblPr>
      <w:tblGrid>
        <w:gridCol w:w="4100"/>
        <w:gridCol w:w="1056"/>
        <w:gridCol w:w="980"/>
        <w:gridCol w:w="1040"/>
        <w:gridCol w:w="1140"/>
        <w:gridCol w:w="980"/>
      </w:tblGrid>
      <w:tr w:rsidR="002B4E4C" w14:paraId="5CDBE00D" w14:textId="77777777" w:rsidTr="0080767B">
        <w:trPr>
          <w:trHeight w:val="264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9CAB9A" w14:textId="77777777" w:rsidR="002B4E4C" w:rsidRPr="002B4E4C" w:rsidRDefault="002B4E4C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7031F2" w14:textId="77777777" w:rsidR="002B4E4C" w:rsidRPr="002B4E4C" w:rsidRDefault="002B4E4C" w:rsidP="00E630D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390C9F" w14:textId="77777777" w:rsidR="002B4E4C" w:rsidRPr="002B4E4C" w:rsidRDefault="002B4E4C" w:rsidP="00E630D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A60555" w14:textId="77777777" w:rsidR="002B4E4C" w:rsidRPr="002B4E4C" w:rsidRDefault="002B4E4C" w:rsidP="00E630D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2751FD" w14:textId="77777777" w:rsidR="002B4E4C" w:rsidRPr="002B4E4C" w:rsidRDefault="002B4E4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813506" w14:textId="77777777" w:rsidR="002B4E4C" w:rsidRDefault="002B4E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B4E4C" w14:paraId="3694496A" w14:textId="77777777" w:rsidTr="0080767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1400" w14:textId="77777777" w:rsidR="002B4E4C" w:rsidRPr="002B4E4C" w:rsidRDefault="002B4E4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355E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92A2C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-0.001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9759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2879" w14:textId="77777777" w:rsidR="002B4E4C" w:rsidRPr="002B4E4C" w:rsidRDefault="002B4E4C">
            <w:pPr>
              <w:jc w:val="righ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7563D" w14:textId="77777777" w:rsidR="002B4E4C" w:rsidRDefault="002B4E4C">
            <w:pPr>
              <w:rPr>
                <w:sz w:val="20"/>
                <w:szCs w:val="20"/>
              </w:rPr>
            </w:pPr>
          </w:p>
        </w:tc>
      </w:tr>
      <w:tr w:rsidR="002B4E4C" w14:paraId="0413B1E2" w14:textId="77777777" w:rsidTr="0080767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CBFB3" w14:textId="77777777" w:rsidR="002B4E4C" w:rsidRPr="002B4E4C" w:rsidRDefault="002B4E4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0441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0BC0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AB24B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6D685" w14:textId="77777777" w:rsidR="002B4E4C" w:rsidRPr="002B4E4C" w:rsidRDefault="002B4E4C">
            <w:pPr>
              <w:jc w:val="righ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055AE" w14:textId="77777777" w:rsidR="002B4E4C" w:rsidRDefault="002B4E4C">
            <w:pPr>
              <w:rPr>
                <w:sz w:val="20"/>
                <w:szCs w:val="20"/>
              </w:rPr>
            </w:pPr>
          </w:p>
        </w:tc>
      </w:tr>
      <w:tr w:rsidR="002B4E4C" w14:paraId="3E4BC4E2" w14:textId="77777777" w:rsidTr="0080767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744B" w14:textId="77777777" w:rsidR="002B4E4C" w:rsidRPr="002B4E4C" w:rsidRDefault="002B4E4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267C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103A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-0.001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6F37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6B6B" w14:textId="77777777" w:rsidR="002B4E4C" w:rsidRPr="002B4E4C" w:rsidRDefault="002B4E4C">
            <w:pPr>
              <w:jc w:val="righ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ECAED" w14:textId="77777777" w:rsidR="002B4E4C" w:rsidRDefault="002B4E4C">
            <w:pPr>
              <w:rPr>
                <w:sz w:val="20"/>
                <w:szCs w:val="20"/>
              </w:rPr>
            </w:pPr>
          </w:p>
        </w:tc>
      </w:tr>
      <w:tr w:rsidR="002B4E4C" w14:paraId="163EBCDE" w14:textId="77777777" w:rsidTr="0080767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0B534B" w14:textId="77777777" w:rsidR="002B4E4C" w:rsidRPr="002B4E4C" w:rsidRDefault="002B4E4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87474D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C733C2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196AB3" w14:textId="77777777" w:rsidR="002B4E4C" w:rsidRPr="002B4E4C" w:rsidRDefault="002B4E4C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1F2AF8" w14:textId="77777777" w:rsidR="002B4E4C" w:rsidRPr="002B4E4C" w:rsidRDefault="002B4E4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C0530C" w14:textId="77777777" w:rsidR="002B4E4C" w:rsidRDefault="002B4E4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4BD6E4" w14:textId="4D5B1DEF" w:rsidR="002B4E4C" w:rsidRDefault="00A6344A" w:rsidP="00DF3A3F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 w:rsidR="00D371E5">
        <w:t>‘</w:t>
      </w:r>
      <w:r w:rsidR="0014631E" w:rsidRPr="0080767B">
        <w:rPr>
          <w:i/>
          <w:iCs/>
          <w:color w:val="000000"/>
        </w:rPr>
        <w:t>a</w:t>
      </w:r>
      <w:r w:rsidR="0014631E" w:rsidRPr="0080767B">
        <w:rPr>
          <w:i/>
          <w:iCs/>
          <w:color w:val="000000"/>
          <w:vertAlign w:val="subscript"/>
        </w:rPr>
        <w:t>1</w:t>
      </w:r>
      <w:r w:rsidR="0014631E" w:rsidRPr="0080767B">
        <w:rPr>
          <w:i/>
          <w:iCs/>
          <w:color w:val="000000"/>
        </w:rPr>
        <w:t>b</w:t>
      </w:r>
      <w:r w:rsidR="0014631E" w:rsidRPr="0080767B">
        <w:rPr>
          <w:i/>
          <w:iCs/>
          <w:color w:val="000000"/>
          <w:vertAlign w:val="subscript"/>
        </w:rPr>
        <w:t>1</w:t>
      </w:r>
      <w:r w:rsidR="00D371E5">
        <w:rPr>
          <w:color w:val="000000"/>
        </w:rPr>
        <w:t>’</w:t>
      </w:r>
      <w:r w:rsidR="0014631E">
        <w:rPr>
          <w:color w:val="000000"/>
          <w:vertAlign w:val="subscript"/>
        </w:rPr>
        <w:t xml:space="preserve"> </w:t>
      </w:r>
      <w:r w:rsidR="0014631E">
        <w:t>=</w:t>
      </w:r>
      <w:r w:rsidR="0014631E" w:rsidRPr="0014631E">
        <w:t xml:space="preserve"> specific indirect effect through</w:t>
      </w:r>
      <w:r w:rsidR="0014631E">
        <w:rPr>
          <w:i/>
          <w:iCs/>
        </w:rPr>
        <w:t xml:space="preserve"> </w:t>
      </w:r>
      <w:r w:rsidR="0014631E">
        <w:rPr>
          <w:color w:val="000000"/>
        </w:rPr>
        <w:t>wave 2</w:t>
      </w:r>
      <w:r w:rsidR="0014631E"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 w:rsidR="0014631E" w:rsidRPr="002B4E4C">
        <w:rPr>
          <w:color w:val="000000"/>
        </w:rPr>
        <w:t xml:space="preserve"> </w:t>
      </w:r>
      <w:r w:rsidR="0014631E">
        <w:rPr>
          <w:color w:val="000000"/>
        </w:rPr>
        <w:t>c</w:t>
      </w:r>
      <w:r w:rsidR="0014631E" w:rsidRPr="002B4E4C">
        <w:rPr>
          <w:color w:val="000000"/>
        </w:rPr>
        <w:t>entrality</w:t>
      </w:r>
      <w:r w:rsidR="0014631E">
        <w:rPr>
          <w:color w:val="000000"/>
        </w:rPr>
        <w:t>,</w:t>
      </w:r>
      <w:r w:rsidR="0080767B">
        <w:rPr>
          <w:color w:val="000000"/>
        </w:rPr>
        <w:t xml:space="preserve"> </w:t>
      </w:r>
      <w:r w:rsidR="00D371E5">
        <w:rPr>
          <w:color w:val="000000"/>
        </w:rPr>
        <w:t>‘</w:t>
      </w:r>
      <w:r w:rsidR="0080767B" w:rsidRPr="002B4E4C">
        <w:rPr>
          <w:i/>
          <w:iCs/>
          <w:color w:val="000000"/>
        </w:rPr>
        <w:t>a</w:t>
      </w:r>
      <w:r w:rsidR="0080767B" w:rsidRPr="002B4E4C">
        <w:rPr>
          <w:i/>
          <w:iCs/>
          <w:color w:val="000000"/>
          <w:vertAlign w:val="subscript"/>
        </w:rPr>
        <w:t>2</w:t>
      </w:r>
      <w:r w:rsidR="0080767B" w:rsidRPr="002B4E4C">
        <w:rPr>
          <w:i/>
          <w:iCs/>
          <w:color w:val="000000"/>
        </w:rPr>
        <w:t>b</w:t>
      </w:r>
      <w:r w:rsidR="0080767B" w:rsidRPr="0014631E">
        <w:rPr>
          <w:i/>
          <w:iCs/>
          <w:color w:val="000000"/>
          <w:vertAlign w:val="subscript"/>
        </w:rPr>
        <w:t>2</w:t>
      </w:r>
      <w:r w:rsidR="00D371E5">
        <w:rPr>
          <w:color w:val="000000"/>
        </w:rPr>
        <w:t>’</w:t>
      </w:r>
      <w:r w:rsidR="0014631E">
        <w:rPr>
          <w:color w:val="000000"/>
        </w:rPr>
        <w:t xml:space="preserve"> = specific indirect effect through wave 2 </w:t>
      </w:r>
      <w:r w:rsidR="00161ABD">
        <w:rPr>
          <w:color w:val="000000"/>
        </w:rPr>
        <w:t>ethnic</w:t>
      </w:r>
      <w:r w:rsidR="0014631E">
        <w:rPr>
          <w:color w:val="000000"/>
        </w:rPr>
        <w:t xml:space="preserve"> private regard,</w:t>
      </w:r>
      <w:r w:rsidR="0080767B">
        <w:rPr>
          <w:color w:val="000000"/>
        </w:rPr>
        <w:t xml:space="preserve"> </w:t>
      </w:r>
      <w:r w:rsidR="00D371E5">
        <w:rPr>
          <w:color w:val="000000"/>
        </w:rPr>
        <w:t>‘</w:t>
      </w:r>
      <w:r w:rsidR="0080767B" w:rsidRPr="002B4E4C">
        <w:rPr>
          <w:i/>
          <w:iCs/>
          <w:color w:val="000000"/>
        </w:rPr>
        <w:t>a</w:t>
      </w:r>
      <w:r w:rsidR="0080767B" w:rsidRPr="002B4E4C">
        <w:rPr>
          <w:i/>
          <w:iCs/>
          <w:color w:val="000000"/>
          <w:vertAlign w:val="subscript"/>
        </w:rPr>
        <w:t>3</w:t>
      </w:r>
      <w:r w:rsidR="0080767B" w:rsidRPr="002B4E4C">
        <w:rPr>
          <w:i/>
          <w:iCs/>
          <w:color w:val="000000"/>
        </w:rPr>
        <w:t>b</w:t>
      </w:r>
      <w:r w:rsidR="0080767B" w:rsidRPr="0014631E">
        <w:rPr>
          <w:i/>
          <w:iCs/>
          <w:color w:val="000000"/>
          <w:vertAlign w:val="subscript"/>
        </w:rPr>
        <w:t>3</w:t>
      </w:r>
      <w:r w:rsidR="00D371E5">
        <w:rPr>
          <w:color w:val="000000"/>
        </w:rPr>
        <w:t>’</w:t>
      </w:r>
      <w:r w:rsidR="0014631E">
        <w:rPr>
          <w:color w:val="000000"/>
        </w:rPr>
        <w:t xml:space="preserve"> = specific indirect effect through wave 2 </w:t>
      </w:r>
      <w:r w:rsidR="00161ABD">
        <w:rPr>
          <w:color w:val="000000"/>
        </w:rPr>
        <w:t>ethnic</w:t>
      </w:r>
      <w:r w:rsidR="0014631E">
        <w:rPr>
          <w:color w:val="000000"/>
        </w:rPr>
        <w:t xml:space="preserve"> public regard,</w:t>
      </w:r>
      <w:r w:rsidR="0080767B">
        <w:rPr>
          <w:color w:val="000000"/>
        </w:rPr>
        <w:t xml:space="preserve"> </w:t>
      </w:r>
      <w:r w:rsidR="00D371E5">
        <w:rPr>
          <w:color w:val="000000"/>
        </w:rPr>
        <w:t>‘</w:t>
      </w:r>
      <w:r w:rsidR="0080767B" w:rsidRPr="002B4E4C">
        <w:rPr>
          <w:color w:val="000000"/>
        </w:rPr>
        <w:t>Σ(</w:t>
      </w:r>
      <w:proofErr w:type="spellStart"/>
      <w:r w:rsidR="0080767B" w:rsidRPr="002B4E4C">
        <w:rPr>
          <w:i/>
          <w:iCs/>
          <w:color w:val="000000"/>
        </w:rPr>
        <w:t>a</w:t>
      </w:r>
      <w:r w:rsidR="0080767B" w:rsidRPr="002B4E4C">
        <w:rPr>
          <w:i/>
          <w:iCs/>
          <w:color w:val="000000"/>
          <w:vertAlign w:val="subscript"/>
        </w:rPr>
        <w:t>i</w:t>
      </w:r>
      <w:r w:rsidR="0080767B" w:rsidRPr="002B4E4C">
        <w:rPr>
          <w:i/>
          <w:iCs/>
          <w:color w:val="000000"/>
        </w:rPr>
        <w:t>b</w:t>
      </w:r>
      <w:r w:rsidR="0080767B" w:rsidRPr="0014631E">
        <w:rPr>
          <w:i/>
          <w:iCs/>
          <w:color w:val="000000"/>
          <w:vertAlign w:val="subscript"/>
        </w:rPr>
        <w:t>i</w:t>
      </w:r>
      <w:proofErr w:type="spellEnd"/>
      <w:r w:rsidR="0080767B" w:rsidRPr="002B4E4C">
        <w:rPr>
          <w:color w:val="000000"/>
        </w:rPr>
        <w:t>)</w:t>
      </w:r>
      <w:bookmarkStart w:id="1" w:name="_Hlk99577964"/>
      <w:r w:rsidR="00D371E5">
        <w:rPr>
          <w:color w:val="000000"/>
        </w:rPr>
        <w:t>’</w:t>
      </w:r>
      <w:bookmarkEnd w:id="1"/>
      <w:r w:rsidR="0080767B" w:rsidRPr="002B4E4C">
        <w:rPr>
          <w:color w:val="000000"/>
        </w:rPr>
        <w:t xml:space="preserve"> </w:t>
      </w:r>
      <w:r w:rsidR="0014631E">
        <w:rPr>
          <w:color w:val="000000"/>
        </w:rPr>
        <w:t>= total indirect effect, ‘</w:t>
      </w:r>
      <w:r w:rsidR="0014631E" w:rsidRPr="00D371E5">
        <w:rPr>
          <w:i/>
          <w:iCs/>
          <w:color w:val="000000"/>
        </w:rPr>
        <w:t>LLCI</w:t>
      </w:r>
      <w:r w:rsidR="0014631E">
        <w:rPr>
          <w:color w:val="000000"/>
        </w:rPr>
        <w:t xml:space="preserve">’ = lower limit of </w:t>
      </w:r>
      <w:r w:rsidR="000C5B9D">
        <w:rPr>
          <w:color w:val="000000"/>
        </w:rPr>
        <w:t xml:space="preserve">percentile bootstrap </w:t>
      </w:r>
      <w:r w:rsidR="0014631E">
        <w:rPr>
          <w:color w:val="000000"/>
        </w:rPr>
        <w:t>confidence interval, ‘</w:t>
      </w:r>
      <w:r w:rsidR="0014631E" w:rsidRPr="00D371E5">
        <w:rPr>
          <w:i/>
          <w:iCs/>
          <w:color w:val="000000"/>
        </w:rPr>
        <w:t>ULCI</w:t>
      </w:r>
      <w:r w:rsidR="0014631E">
        <w:rPr>
          <w:color w:val="000000"/>
        </w:rPr>
        <w:t xml:space="preserve">’ = upper limit of </w:t>
      </w:r>
      <w:r w:rsidR="000C5B9D">
        <w:rPr>
          <w:color w:val="000000"/>
        </w:rPr>
        <w:t xml:space="preserve">percentile bootstrap </w:t>
      </w:r>
      <w:r w:rsidR="0014631E">
        <w:rPr>
          <w:color w:val="000000"/>
        </w:rPr>
        <w:t>confidence interval.</w:t>
      </w:r>
    </w:p>
    <w:p w14:paraId="087DC19D" w14:textId="77777777" w:rsidR="00E23939" w:rsidRDefault="00E23939" w:rsidP="00DF3A3F">
      <w:pPr>
        <w:spacing w:line="480" w:lineRule="auto"/>
        <w:rPr>
          <w:color w:val="000000"/>
        </w:rPr>
      </w:pPr>
    </w:p>
    <w:p w14:paraId="541A1B39" w14:textId="56E2F3A5" w:rsidR="00CB70DF" w:rsidRDefault="00CB70DF" w:rsidP="00DF3A3F">
      <w:pPr>
        <w:spacing w:line="480" w:lineRule="auto"/>
        <w:rPr>
          <w:color w:val="000000"/>
        </w:rPr>
      </w:pPr>
      <w:r>
        <w:rPr>
          <w:color w:val="000000"/>
        </w:rPr>
        <w:t>By</w:t>
      </w:r>
      <w:r w:rsidR="00E23939">
        <w:rPr>
          <w:color w:val="000000"/>
        </w:rPr>
        <w:t xml:space="preserve"> examining which percentile bootstrap confidence intervals exclude zero, we determine that the specific indirect effect through wave 2 </w:t>
      </w:r>
      <w:r w:rsidR="00161ABD">
        <w:rPr>
          <w:color w:val="000000"/>
        </w:rPr>
        <w:t>ethnic</w:t>
      </w:r>
      <w:r w:rsidR="00E23939">
        <w:rPr>
          <w:color w:val="000000"/>
        </w:rPr>
        <w:t xml:space="preserve"> </w:t>
      </w:r>
      <w:r w:rsidR="0042371A">
        <w:rPr>
          <w:color w:val="000000"/>
        </w:rPr>
        <w:t>private regard</w:t>
      </w:r>
      <w:r w:rsidR="00E23939">
        <w:rPr>
          <w:color w:val="000000"/>
        </w:rPr>
        <w:t xml:space="preserve"> and the total indirect effect are </w:t>
      </w:r>
      <w:r>
        <w:rPr>
          <w:color w:val="000000"/>
        </w:rPr>
        <w:t xml:space="preserve">both </w:t>
      </w:r>
      <w:r w:rsidR="00E23939">
        <w:rPr>
          <w:color w:val="000000"/>
        </w:rPr>
        <w:t>significantly different from zero (the lower limit of the confidence interval for the total indirect effect is 0.000376</w:t>
      </w:r>
      <w:r>
        <w:rPr>
          <w:color w:val="000000"/>
        </w:rPr>
        <w:t xml:space="preserve">). </w:t>
      </w:r>
    </w:p>
    <w:p w14:paraId="63363DC3" w14:textId="40B61068" w:rsidR="00E23939" w:rsidRDefault="00CB70DF" w:rsidP="00CB70DF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>Tables 2, 3, 4, and 5 below contain the results for the alternative analyses we ran. Each table corresponds to a different</w:t>
      </w:r>
      <w:r w:rsidR="00F077E4">
        <w:rPr>
          <w:color w:val="000000"/>
        </w:rPr>
        <w:t xml:space="preserve"> combination of </w:t>
      </w:r>
      <w:r>
        <w:rPr>
          <w:color w:val="000000"/>
        </w:rPr>
        <w:t>imputation</w:t>
      </w:r>
      <w:r w:rsidR="00F077E4">
        <w:rPr>
          <w:color w:val="000000"/>
        </w:rPr>
        <w:t xml:space="preserve"> </w:t>
      </w:r>
      <w:r>
        <w:rPr>
          <w:color w:val="000000"/>
        </w:rPr>
        <w:t>program</w:t>
      </w:r>
      <w:r w:rsidR="00F077E4">
        <w:rPr>
          <w:color w:val="000000"/>
        </w:rPr>
        <w:t xml:space="preserve"> and </w:t>
      </w:r>
      <w:r>
        <w:rPr>
          <w:color w:val="000000"/>
        </w:rPr>
        <w:t>impute/bootstrap</w:t>
      </w:r>
      <w:r w:rsidR="00F077E4">
        <w:rPr>
          <w:color w:val="000000"/>
        </w:rPr>
        <w:t xml:space="preserve"> </w:t>
      </w:r>
      <w:r>
        <w:rPr>
          <w:color w:val="000000"/>
        </w:rPr>
        <w:t xml:space="preserve">procedure, and they all display the </w:t>
      </w:r>
      <w:r w:rsidR="00F077E4">
        <w:rPr>
          <w:color w:val="000000"/>
        </w:rPr>
        <w:t>estimates/percentile bootstrap confidence intervals</w:t>
      </w:r>
      <w:r>
        <w:rPr>
          <w:color w:val="000000"/>
        </w:rPr>
        <w:t xml:space="preserve"> for the three different covariate patterns we </w:t>
      </w:r>
      <w:r w:rsidR="00866009">
        <w:rPr>
          <w:color w:val="000000"/>
        </w:rPr>
        <w:t>considered for</w:t>
      </w:r>
      <w:r>
        <w:rPr>
          <w:color w:val="000000"/>
        </w:rPr>
        <w:t xml:space="preserve"> the analysis model. </w:t>
      </w:r>
      <w:r w:rsidR="00E23939">
        <w:rPr>
          <w:color w:val="000000"/>
        </w:rPr>
        <w:tab/>
      </w:r>
    </w:p>
    <w:p w14:paraId="2288FCD9" w14:textId="2E645511" w:rsidR="00AB6740" w:rsidRPr="0063347C" w:rsidRDefault="00AB6740" w:rsidP="00AB6740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 w:rsidR="00666F61">
        <w:rPr>
          <w:b/>
          <w:bCs/>
        </w:rPr>
        <w:t>2</w:t>
      </w:r>
    </w:p>
    <w:p w14:paraId="7C58D457" w14:textId="5279EB18" w:rsidR="00AB6740" w:rsidRDefault="00AB6740" w:rsidP="00AB6740">
      <w:pPr>
        <w:shd w:val="clear" w:color="auto" w:fill="FFFFFF"/>
        <w:spacing w:line="480" w:lineRule="auto"/>
      </w:pPr>
      <w:r>
        <w:rPr>
          <w:i/>
          <w:iCs/>
        </w:rPr>
        <w:t>Results for Analys</w:t>
      </w:r>
      <w:r w:rsidR="00DD3FC2">
        <w:rPr>
          <w:i/>
          <w:iCs/>
        </w:rPr>
        <w:t>e</w:t>
      </w:r>
      <w:r>
        <w:rPr>
          <w:i/>
          <w:iCs/>
        </w:rPr>
        <w:t xml:space="preserve">s with </w:t>
      </w:r>
      <w:r w:rsidR="00DD3FC2">
        <w:rPr>
          <w:i/>
          <w:iCs/>
        </w:rPr>
        <w:t>Amelia and</w:t>
      </w:r>
      <w:r>
        <w:rPr>
          <w:i/>
          <w:iCs/>
        </w:rPr>
        <w:t xml:space="preserve"> </w:t>
      </w:r>
      <w:r w:rsidR="0032177A">
        <w:rPr>
          <w:i/>
          <w:iCs/>
        </w:rPr>
        <w:t>Bootstrap-then-Imputation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75012B" w14:paraId="060AEDAD" w14:textId="77777777" w:rsidTr="00B8321C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2F4348" w14:textId="4CF0D6A1" w:rsidR="001273DA" w:rsidRPr="002B4E4C" w:rsidRDefault="00E630DB" w:rsidP="00F33D91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D700B1" w14:textId="27DE6757" w:rsidR="001273DA" w:rsidRPr="002B4E4C" w:rsidRDefault="001273DA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428681" w14:textId="77777777" w:rsidR="001273DA" w:rsidRPr="002B4E4C" w:rsidRDefault="001273DA" w:rsidP="00E630D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ED49C" w14:textId="77777777" w:rsidR="001273DA" w:rsidRPr="002B4E4C" w:rsidRDefault="001273DA" w:rsidP="00E630D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9F4507" w14:textId="77777777" w:rsidR="001273DA" w:rsidRPr="002B4E4C" w:rsidRDefault="001273DA" w:rsidP="00E630D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280E03" w14:textId="77777777" w:rsidR="001273DA" w:rsidRPr="002B4E4C" w:rsidRDefault="001273DA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AE554B" w14:textId="77777777" w:rsidR="001273DA" w:rsidRDefault="001273DA" w:rsidP="00F33D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21C" w14:paraId="1826FB83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3F5ACAC" w14:textId="4594D81E" w:rsidR="00B8321C" w:rsidRPr="00E630DB" w:rsidRDefault="00B8321C" w:rsidP="00B8321C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lastRenderedPageBreak/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CA7A3" w14:textId="2234F05C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C81558" w14:textId="44CB2521" w:rsidR="00B8321C" w:rsidRPr="002B4E4C" w:rsidRDefault="00ED5703" w:rsidP="00B8321C">
            <w:pPr>
              <w:jc w:val="right"/>
              <w:rPr>
                <w:color w:val="000000"/>
              </w:rPr>
            </w:pPr>
            <w:r>
              <w:t>-</w:t>
            </w:r>
            <w:r w:rsidR="00B8321C" w:rsidRPr="00A10020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7B7FF" w14:textId="373B201B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-0.002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8A821B" w14:textId="57BA52CF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E4928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96D68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5795BDE8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525DDC9" w14:textId="77777777" w:rsidR="00B8321C" w:rsidRPr="002B4E4C" w:rsidRDefault="00B8321C" w:rsidP="00B8321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8411" w14:textId="62EE259D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651D9" w14:textId="22E24EAA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A10020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8ECB39" w14:textId="1E289110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717EE" w14:textId="7D7B9330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F794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FB4BE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1FE7DF4F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0547A5E" w14:textId="77777777" w:rsidR="00B8321C" w:rsidRPr="002B4E4C" w:rsidRDefault="00B8321C" w:rsidP="00B8321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41CD" w14:textId="78BA5B7B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0202B1D" w14:textId="4D62D566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A10020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D22E8FA" w14:textId="606E1064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5098CF" w14:textId="00A414FA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31CCE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0259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2759052B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8B8A3E" w14:textId="77777777" w:rsidR="00B8321C" w:rsidRPr="002B4E4C" w:rsidRDefault="00B8321C" w:rsidP="00B8321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6E9E69" w14:textId="63E7253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BFEB46" w14:textId="4534068A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A10020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8B1C10F" w14:textId="7B118EB7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648341E" w14:textId="7FE327C9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8E03E2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042A4F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D7D026" w14:textId="77777777" w:rsidR="00B8321C" w:rsidRDefault="00B8321C" w:rsidP="00B83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21C" w14:paraId="260EE38C" w14:textId="77777777" w:rsidTr="00B8321C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D75DDF" w14:textId="1D16A50E" w:rsidR="00B8321C" w:rsidRPr="00E630DB" w:rsidRDefault="00B8321C" w:rsidP="00B832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DFC6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ED6567" w14:textId="480A0E15" w:rsidR="00B8321C" w:rsidRPr="002B4E4C" w:rsidRDefault="00ED5703" w:rsidP="00B8321C">
            <w:pPr>
              <w:jc w:val="right"/>
              <w:rPr>
                <w:color w:val="000000"/>
              </w:rPr>
            </w:pPr>
            <w:r>
              <w:t>-</w:t>
            </w:r>
            <w:r w:rsidR="00B8321C" w:rsidRPr="00781B8D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7FC48" w14:textId="11356848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762428" w14:textId="76657B5E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EFBE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245D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59AE1014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43C2A95" w14:textId="77777777" w:rsidR="00B8321C" w:rsidRPr="002B4E4C" w:rsidRDefault="00B8321C" w:rsidP="00B8321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5CDD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1094FBE" w14:textId="1C43998A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781B8D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451479" w14:textId="1E9DEBDC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2F47BE" w14:textId="3A57BCC9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F913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1875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01A49B78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5ABA55D" w14:textId="77777777" w:rsidR="00B8321C" w:rsidRPr="002B4E4C" w:rsidRDefault="00B8321C" w:rsidP="00B8321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88F3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D9938B" w14:textId="2C701C4D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781B8D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FDF6FE" w14:textId="302681AD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F92A4B" w14:textId="33DD0B54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845AE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5F42A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6F4F0B75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ED0484" w14:textId="77777777" w:rsidR="00B8321C" w:rsidRPr="002B4E4C" w:rsidRDefault="00B8321C" w:rsidP="00B8321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D2FF16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E90F11B" w14:textId="1A9D7C14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781B8D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97E6FA7" w14:textId="544C59C7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28E2126" w14:textId="46FA41E8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277A7E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9A9396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1CA0BC" w14:textId="77777777" w:rsidR="00B8321C" w:rsidRDefault="00B8321C" w:rsidP="00B83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8321C" w14:paraId="57C3BE25" w14:textId="77777777" w:rsidTr="00B8321C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204A43" w14:textId="28D42264" w:rsidR="00B8321C" w:rsidRPr="00E630DB" w:rsidRDefault="00B8321C" w:rsidP="00B8321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E02D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E17A9" w14:textId="405C333D" w:rsidR="00B8321C" w:rsidRPr="002B4E4C" w:rsidRDefault="00ED5703" w:rsidP="00B8321C">
            <w:pPr>
              <w:jc w:val="right"/>
              <w:rPr>
                <w:color w:val="000000"/>
              </w:rPr>
            </w:pPr>
            <w:r>
              <w:t>-</w:t>
            </w:r>
            <w:r w:rsidR="00B8321C" w:rsidRPr="001C6DDF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7E64CC" w14:textId="5E5726E8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ED94A4" w14:textId="5080709B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0.002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C29B4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894DE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1FCB512B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B6285CF" w14:textId="77777777" w:rsidR="00B8321C" w:rsidRPr="002B4E4C" w:rsidRDefault="00B8321C" w:rsidP="00B8321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D0C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655DB3" w14:textId="1CD6718A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C6DDF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87BC9" w14:textId="69FE33DA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1AD1A" w14:textId="33358605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AB8A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8F5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15DA4C28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5F5A102" w14:textId="77777777" w:rsidR="00B8321C" w:rsidRPr="002B4E4C" w:rsidRDefault="00B8321C" w:rsidP="00B8321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A105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E407BE" w14:textId="2C26733E" w:rsidR="00B8321C" w:rsidRPr="002B4E4C" w:rsidRDefault="00ED5703" w:rsidP="00B8321C">
            <w:pPr>
              <w:jc w:val="right"/>
              <w:rPr>
                <w:color w:val="000000"/>
              </w:rPr>
            </w:pPr>
            <w:r>
              <w:t>-</w:t>
            </w:r>
            <w:r w:rsidR="00B8321C" w:rsidRPr="001C6DDF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09F671" w14:textId="271CC591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400E89" w14:textId="041AE860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A9488" w14:textId="77777777" w:rsidR="00B8321C" w:rsidRPr="002B4E4C" w:rsidRDefault="00B8321C" w:rsidP="00B8321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0FB6D" w14:textId="77777777" w:rsidR="00B8321C" w:rsidRDefault="00B8321C" w:rsidP="00B8321C">
            <w:pPr>
              <w:rPr>
                <w:sz w:val="20"/>
                <w:szCs w:val="20"/>
              </w:rPr>
            </w:pPr>
          </w:p>
        </w:tc>
      </w:tr>
      <w:tr w:rsidR="00B8321C" w14:paraId="60D9FC19" w14:textId="77777777" w:rsidTr="00B8321C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85FE9" w14:textId="77777777" w:rsidR="00B8321C" w:rsidRPr="002B4E4C" w:rsidRDefault="00B8321C" w:rsidP="00B8321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074757D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CC2263" w14:textId="0D308B1F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C6DDF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85011FA" w14:textId="25DD088B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E476A" w14:textId="562783BA" w:rsidR="00B8321C" w:rsidRPr="002B4E4C" w:rsidRDefault="00B8321C" w:rsidP="00B8321C">
            <w:pPr>
              <w:jc w:val="right"/>
              <w:rPr>
                <w:color w:val="000000"/>
              </w:rPr>
            </w:pPr>
            <w:r w:rsidRPr="001021D8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966BB3" w14:textId="77777777" w:rsidR="00B8321C" w:rsidRPr="002B4E4C" w:rsidRDefault="00B8321C" w:rsidP="00B8321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AE82BB" w14:textId="77777777" w:rsidR="00B8321C" w:rsidRDefault="00B8321C" w:rsidP="00B8321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24E4E038" w14:textId="3B983324" w:rsidR="00AA1EB3" w:rsidRDefault="00AA1EB3" w:rsidP="00AA1EB3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</w:t>
      </w:r>
      <w:r w:rsidR="000051FC">
        <w:t xml:space="preserve">, </w:t>
      </w:r>
      <w:r>
        <w:t>‘</w:t>
      </w:r>
      <w:r>
        <w:rPr>
          <w:b/>
          <w:bCs/>
          <w:color w:val="000000"/>
        </w:rPr>
        <w:t>Single</w:t>
      </w:r>
      <w:r>
        <w:t>’ = model that contains a single wave 1 covariate in each equation, ‘</w:t>
      </w:r>
      <w:r>
        <w:rPr>
          <w:b/>
          <w:bCs/>
          <w:color w:val="000000"/>
        </w:rPr>
        <w:t>Single + All</w:t>
      </w:r>
      <w:r>
        <w:t xml:space="preserve">’ = model that contains all wave 1 </w:t>
      </w:r>
      <w:r w:rsidR="007D753A">
        <w:t>covariate</w:t>
      </w:r>
      <w:r>
        <w:t xml:space="preserve">s in the equation for </w:t>
      </w:r>
      <w:r>
        <w:rPr>
          <w:i/>
          <w:iCs/>
        </w:rPr>
        <w:t>Y</w:t>
      </w:r>
      <w:r>
        <w:t xml:space="preserve"> </w:t>
      </w:r>
      <w:r w:rsidR="005A56F3">
        <w:t>and</w:t>
      </w:r>
      <w:r>
        <w:t xml:space="preserve"> a single wave 1 </w:t>
      </w:r>
      <w:r w:rsidR="007D753A">
        <w:t>covariate</w:t>
      </w:r>
      <w:r>
        <w:t xml:space="preserve"> in every other equation,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 w:rsidRPr="002B4E4C">
        <w:rPr>
          <w:color w:val="000000"/>
        </w:rPr>
        <w:t xml:space="preserve"> </w:t>
      </w:r>
      <w:r>
        <w:rPr>
          <w:color w:val="000000"/>
        </w:rPr>
        <w:t>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48D15A7B" w14:textId="3DCF07DD" w:rsidR="00AB6740" w:rsidRDefault="00AB6740" w:rsidP="00DF3A3F">
      <w:pPr>
        <w:spacing w:line="480" w:lineRule="auto"/>
        <w:rPr>
          <w:color w:val="000000"/>
        </w:rPr>
      </w:pPr>
    </w:p>
    <w:p w14:paraId="62EDDB18" w14:textId="28124C31" w:rsidR="00F6494C" w:rsidRPr="0063347C" w:rsidRDefault="00F6494C" w:rsidP="00F6494C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>
        <w:rPr>
          <w:b/>
          <w:bCs/>
        </w:rPr>
        <w:t>3</w:t>
      </w:r>
    </w:p>
    <w:p w14:paraId="59FB09CC" w14:textId="08FCB7B0" w:rsidR="00F6494C" w:rsidRDefault="00F6494C" w:rsidP="00F6494C">
      <w:pPr>
        <w:shd w:val="clear" w:color="auto" w:fill="FFFFFF"/>
        <w:spacing w:line="480" w:lineRule="auto"/>
      </w:pPr>
      <w:r>
        <w:rPr>
          <w:i/>
          <w:iCs/>
        </w:rPr>
        <w:t>Results for Analyses with mice and Bootstrap-then-Imputation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F6494C" w14:paraId="21DC04FE" w14:textId="77777777" w:rsidTr="00F33D91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3CE66" w14:textId="77777777" w:rsidR="00F6494C" w:rsidRPr="002B4E4C" w:rsidRDefault="00F6494C" w:rsidP="00F33D91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01D920" w14:textId="77777777" w:rsidR="00F6494C" w:rsidRPr="002B4E4C" w:rsidRDefault="00F6494C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371B3" w14:textId="77777777" w:rsidR="00F6494C" w:rsidRPr="002B4E4C" w:rsidRDefault="00F6494C" w:rsidP="00F33D91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5DA808" w14:textId="77777777" w:rsidR="00F6494C" w:rsidRPr="002B4E4C" w:rsidRDefault="00F6494C" w:rsidP="00F33D91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042A19" w14:textId="77777777" w:rsidR="00F6494C" w:rsidRPr="002B4E4C" w:rsidRDefault="00F6494C" w:rsidP="00F33D91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CFF034" w14:textId="77777777" w:rsidR="00F6494C" w:rsidRPr="002B4E4C" w:rsidRDefault="00F6494C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3EBCC1" w14:textId="77777777" w:rsidR="00F6494C" w:rsidRDefault="00F6494C" w:rsidP="00F33D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68C" w14:paraId="3083AE27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0B845B0" w14:textId="77777777" w:rsidR="0026168C" w:rsidRPr="00E630DB" w:rsidRDefault="0026168C" w:rsidP="0026168C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A5F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0A0249" w14:textId="71033CD7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9A158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069810" w14:textId="58B4384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-0.002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048D3C" w14:textId="68D747BF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AEE2B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CA61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701BE7DD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BCC983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7B08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BD6F2" w14:textId="1464142C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9A158A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1D11D" w14:textId="5F2E8175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701F27" w14:textId="4BA2F44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0.009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D7F0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3D195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6F9B0B2E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99B05F6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0B829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CE5D83C" w14:textId="214C8003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9A158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A53961" w14:textId="257D6428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597384C" w14:textId="5745F87B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79154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158F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76DFBAAA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08C3D8" w14:textId="77777777" w:rsidR="0026168C" w:rsidRPr="002B4E4C" w:rsidRDefault="0026168C" w:rsidP="0026168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4E111C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31845" w14:textId="06878787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9A158A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F6D247" w14:textId="52C528DD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EDC502" w14:textId="33C33C73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8B2867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ABC80D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266AE5" w14:textId="77777777" w:rsidR="0026168C" w:rsidRDefault="0026168C" w:rsidP="00261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68C" w14:paraId="2023818F" w14:textId="77777777" w:rsidTr="00F33D91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09060C" w14:textId="77777777" w:rsidR="0026168C" w:rsidRPr="00E630DB" w:rsidRDefault="0026168C" w:rsidP="002616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99841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2E1A9" w14:textId="6605252D" w:rsidR="0026168C" w:rsidRPr="002B4E4C" w:rsidRDefault="002E2862" w:rsidP="0026168C">
            <w:pPr>
              <w:jc w:val="right"/>
              <w:rPr>
                <w:color w:val="000000"/>
              </w:rPr>
            </w:pPr>
            <w:r>
              <w:t>-</w:t>
            </w:r>
            <w:r w:rsidR="0026168C" w:rsidRPr="00F50D48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E7F52C" w14:textId="4DB7F48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4427CA">
              <w:t>-0.003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57E96" w14:textId="3803E0C0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4427CA">
              <w:t>0.000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62606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D6C61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6DA503A8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D2E06E5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3EA8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2F871A" w14:textId="7ACA1519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F50D48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5EC2A4" w14:textId="1DABDC83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4427C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5DF163" w14:textId="1851469A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4427CA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457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34258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19AC48FF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E8A2E21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899F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46650" w14:textId="30E96B52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F50D48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B5E4D4" w14:textId="1C885ADA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4427CA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1863B9" w14:textId="713B4F72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4427CA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6675A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DBE9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6C4184F4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791FD4" w14:textId="77777777" w:rsidR="0026168C" w:rsidRPr="002B4E4C" w:rsidRDefault="0026168C" w:rsidP="0026168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C6BC8B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3BE0A3" w14:textId="3CF3A0B9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F50D48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259EC7" w14:textId="6E7020A3" w:rsidR="0026168C" w:rsidRPr="002B4E4C" w:rsidRDefault="002E2862" w:rsidP="0026168C">
            <w:pPr>
              <w:jc w:val="right"/>
              <w:rPr>
                <w:color w:val="000000"/>
              </w:rPr>
            </w:pPr>
            <w:r>
              <w:t>-</w:t>
            </w:r>
            <w:r w:rsidR="0026168C" w:rsidRPr="004427C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48F416" w14:textId="18DFDD1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4427CA">
              <w:t>0.006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0C8C7E2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A9056A" w14:textId="77777777" w:rsidR="0026168C" w:rsidRDefault="0026168C" w:rsidP="00261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AD5E02" w14:paraId="0AFDB85A" w14:textId="77777777" w:rsidTr="00F33D91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966F7D" w14:textId="77777777" w:rsidR="00AD5E02" w:rsidRPr="00E630DB" w:rsidRDefault="00AD5E02" w:rsidP="00AD5E02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FE926" w14:textId="77777777" w:rsidR="00AD5E02" w:rsidRPr="002B4E4C" w:rsidRDefault="00AD5E02" w:rsidP="00AD5E02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E02F5E" w14:textId="57C4C5FC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7B761C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861DD1" w14:textId="11538B41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221DB0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328749" w14:textId="4584C4E5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221DB0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CC361" w14:textId="77777777" w:rsidR="00AD5E02" w:rsidRPr="002B4E4C" w:rsidRDefault="00AD5E02" w:rsidP="00AD5E02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01B22" w14:textId="77777777" w:rsidR="00AD5E02" w:rsidRDefault="00AD5E02" w:rsidP="00AD5E02">
            <w:pPr>
              <w:rPr>
                <w:sz w:val="20"/>
                <w:szCs w:val="20"/>
              </w:rPr>
            </w:pPr>
          </w:p>
        </w:tc>
      </w:tr>
      <w:tr w:rsidR="00AD5E02" w14:paraId="50D9B019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9615BC" w14:textId="77777777" w:rsidR="00AD5E02" w:rsidRPr="002B4E4C" w:rsidRDefault="00AD5E02" w:rsidP="00AD5E02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9A40" w14:textId="77777777" w:rsidR="00AD5E02" w:rsidRPr="002B4E4C" w:rsidRDefault="00AD5E02" w:rsidP="00AD5E02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651A1" w14:textId="2C853D91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7B761C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AB67928" w14:textId="53EE8BC6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221DB0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52F468" w14:textId="00A6B25B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221DB0">
              <w:t>0.009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723CF" w14:textId="77777777" w:rsidR="00AD5E02" w:rsidRPr="002B4E4C" w:rsidRDefault="00AD5E02" w:rsidP="00AD5E02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707F" w14:textId="77777777" w:rsidR="00AD5E02" w:rsidRDefault="00AD5E02" w:rsidP="00AD5E02">
            <w:pPr>
              <w:rPr>
                <w:sz w:val="20"/>
                <w:szCs w:val="20"/>
              </w:rPr>
            </w:pPr>
          </w:p>
        </w:tc>
      </w:tr>
      <w:tr w:rsidR="00AD5E02" w14:paraId="21D55D61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A458181" w14:textId="77777777" w:rsidR="00AD5E02" w:rsidRPr="002B4E4C" w:rsidRDefault="00AD5E02" w:rsidP="00AD5E02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60435" w14:textId="77777777" w:rsidR="00AD5E02" w:rsidRPr="002B4E4C" w:rsidRDefault="00AD5E02" w:rsidP="00AD5E02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5C56FF" w14:textId="6A8E2DD1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7B761C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24423" w14:textId="3E2A0BCC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221DB0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7CC1D6" w14:textId="76E5B17C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221DB0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527C1" w14:textId="77777777" w:rsidR="00AD5E02" w:rsidRPr="002B4E4C" w:rsidRDefault="00AD5E02" w:rsidP="00AD5E02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D801" w14:textId="77777777" w:rsidR="00AD5E02" w:rsidRDefault="00AD5E02" w:rsidP="00AD5E02">
            <w:pPr>
              <w:rPr>
                <w:sz w:val="20"/>
                <w:szCs w:val="20"/>
              </w:rPr>
            </w:pPr>
          </w:p>
        </w:tc>
      </w:tr>
      <w:tr w:rsidR="00AD5E02" w14:paraId="6423903E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6C22DD" w14:textId="77777777" w:rsidR="00AD5E02" w:rsidRPr="002B4E4C" w:rsidRDefault="00AD5E02" w:rsidP="00AD5E02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823CD7" w14:textId="77777777" w:rsidR="00AD5E02" w:rsidRPr="002B4E4C" w:rsidRDefault="00AD5E02" w:rsidP="00AD5E02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650C07" w14:textId="416E6B74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7B761C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E8B2F33" w14:textId="5EA0FFA1" w:rsidR="00AD5E02" w:rsidRPr="002B4E4C" w:rsidRDefault="002E2862" w:rsidP="00AD5E02">
            <w:pPr>
              <w:jc w:val="right"/>
              <w:rPr>
                <w:color w:val="000000"/>
              </w:rPr>
            </w:pPr>
            <w:r>
              <w:t>-</w:t>
            </w:r>
            <w:r w:rsidR="00AD5E02" w:rsidRPr="00221DB0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9E9C62" w14:textId="42932422" w:rsidR="00AD5E02" w:rsidRPr="002B4E4C" w:rsidRDefault="00AD5E02" w:rsidP="00AD5E02">
            <w:pPr>
              <w:jc w:val="right"/>
              <w:rPr>
                <w:color w:val="000000"/>
              </w:rPr>
            </w:pPr>
            <w:r w:rsidRPr="00221DB0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E221D0" w14:textId="77777777" w:rsidR="00AD5E02" w:rsidRPr="002B4E4C" w:rsidRDefault="00AD5E02" w:rsidP="00AD5E02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D37E39A" w14:textId="77777777" w:rsidR="00AD5E02" w:rsidRDefault="00AD5E02" w:rsidP="00AD5E0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36179C2" w14:textId="58EEB355" w:rsidR="00F6494C" w:rsidRDefault="00F6494C" w:rsidP="00F6494C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</w:t>
      </w:r>
      <w:r w:rsidR="000051FC">
        <w:t xml:space="preserve">, </w:t>
      </w:r>
      <w:r>
        <w:t>‘</w:t>
      </w:r>
      <w:r>
        <w:rPr>
          <w:b/>
          <w:bCs/>
          <w:color w:val="000000"/>
        </w:rPr>
        <w:t>Single</w:t>
      </w:r>
      <w:r>
        <w:t>’ = model that contains a single wave 1 covariate in each equation, ‘</w:t>
      </w:r>
      <w:r>
        <w:rPr>
          <w:b/>
          <w:bCs/>
          <w:color w:val="000000"/>
        </w:rPr>
        <w:t>Single + All</w:t>
      </w:r>
      <w:r>
        <w:t xml:space="preserve">’ = model that contains all wave 1 </w:t>
      </w:r>
      <w:r w:rsidR="007D753A">
        <w:t>covariate</w:t>
      </w:r>
      <w:r>
        <w:t xml:space="preserve">s in the equation for </w:t>
      </w:r>
      <w:r>
        <w:rPr>
          <w:i/>
          <w:iCs/>
        </w:rPr>
        <w:t>Y</w:t>
      </w:r>
      <w:r>
        <w:t xml:space="preserve"> and a single wave 1 </w:t>
      </w:r>
      <w:r w:rsidR="007D753A">
        <w:t>covariate</w:t>
      </w:r>
      <w:r>
        <w:t xml:space="preserve"> in every other equation,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 w:rsidR="00EA4888">
        <w:rPr>
          <w:color w:val="000000"/>
        </w:rPr>
        <w:t xml:space="preserve"> </w:t>
      </w:r>
      <w:r>
        <w:rPr>
          <w:color w:val="000000"/>
        </w:rPr>
        <w:t>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4D463051" w14:textId="18B88060" w:rsidR="00BA4C4A" w:rsidRDefault="00BA4C4A" w:rsidP="00F6494C">
      <w:pPr>
        <w:spacing w:line="480" w:lineRule="auto"/>
        <w:rPr>
          <w:color w:val="000000"/>
        </w:rPr>
      </w:pPr>
    </w:p>
    <w:p w14:paraId="192D0563" w14:textId="09A37E6D" w:rsidR="00BA4C4A" w:rsidRPr="0063347C" w:rsidRDefault="00BA4C4A" w:rsidP="00BA4C4A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>
        <w:rPr>
          <w:b/>
          <w:bCs/>
        </w:rPr>
        <w:t>4</w:t>
      </w:r>
    </w:p>
    <w:p w14:paraId="6F3461A2" w14:textId="6D672012" w:rsidR="00BA4C4A" w:rsidRDefault="00BA4C4A" w:rsidP="00BA4C4A">
      <w:pPr>
        <w:shd w:val="clear" w:color="auto" w:fill="FFFFFF"/>
        <w:spacing w:line="480" w:lineRule="auto"/>
      </w:pPr>
      <w:r>
        <w:rPr>
          <w:i/>
          <w:iCs/>
        </w:rPr>
        <w:t>Results for Analyses with Amelia and Imputation-then-Bootstrap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BA4C4A" w14:paraId="3522647C" w14:textId="77777777" w:rsidTr="00F33D91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92664F" w14:textId="77777777" w:rsidR="00BA4C4A" w:rsidRPr="002B4E4C" w:rsidRDefault="00BA4C4A" w:rsidP="00F33D91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6BB240" w14:textId="77777777" w:rsidR="00BA4C4A" w:rsidRPr="002B4E4C" w:rsidRDefault="00BA4C4A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A21B03" w14:textId="77777777" w:rsidR="00BA4C4A" w:rsidRPr="002B4E4C" w:rsidRDefault="00BA4C4A" w:rsidP="00F33D91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33327" w14:textId="77777777" w:rsidR="00BA4C4A" w:rsidRPr="002B4E4C" w:rsidRDefault="00BA4C4A" w:rsidP="00F33D91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FE631F" w14:textId="77777777" w:rsidR="00BA4C4A" w:rsidRPr="002B4E4C" w:rsidRDefault="00BA4C4A" w:rsidP="00F33D91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2D4ACB" w14:textId="77777777" w:rsidR="00BA4C4A" w:rsidRPr="002B4E4C" w:rsidRDefault="00BA4C4A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9B1FDF" w14:textId="77777777" w:rsidR="00BA4C4A" w:rsidRDefault="00BA4C4A" w:rsidP="00F33D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68C" w14:paraId="3430C428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375C4EA" w14:textId="77777777" w:rsidR="0026168C" w:rsidRPr="00E630DB" w:rsidRDefault="0026168C" w:rsidP="0026168C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FECA5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F65326" w14:textId="75255312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F705B4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E0D783" w14:textId="128F5301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B87610" w14:textId="2921C6A8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60380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2E7A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322379B6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DE1F119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1941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34D644" w14:textId="3640896A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F705B4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0CA7B9" w14:textId="11E27D32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8B46D0" w14:textId="755FB16D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74E6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8582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5B36F895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1600F869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69DF3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62649E5" w14:textId="2BE174EA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F705B4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5EDAF21" w14:textId="2D237A14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A647621" w14:textId="7132054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4B49E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1E911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3154EE6A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EB49F0" w14:textId="77777777" w:rsidR="0026168C" w:rsidRPr="002B4E4C" w:rsidRDefault="0026168C" w:rsidP="0026168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8065E9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D280CC" w14:textId="0661C167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F705B4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A3F458" w14:textId="7421DD69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9E18C77" w14:textId="4A855541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05091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CD6896C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2C60E" w14:textId="77777777" w:rsidR="0026168C" w:rsidRDefault="0026168C" w:rsidP="00261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68C" w14:paraId="1FA98D96" w14:textId="77777777" w:rsidTr="00F33D91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24B1E7E" w14:textId="77777777" w:rsidR="0026168C" w:rsidRPr="00E630DB" w:rsidRDefault="0026168C" w:rsidP="002616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9447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E2CB9" w14:textId="052AB5A7" w:rsidR="0026168C" w:rsidRPr="002B4E4C" w:rsidRDefault="006B58C7" w:rsidP="0026168C">
            <w:pPr>
              <w:jc w:val="right"/>
              <w:rPr>
                <w:color w:val="000000"/>
              </w:rPr>
            </w:pPr>
            <w:r>
              <w:t>-</w:t>
            </w:r>
            <w:r w:rsidR="0026168C" w:rsidRPr="00184244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6B99C" w14:textId="64AB7A8D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1B47A6" w14:textId="2C4E35BA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8B11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BDAE6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38FAB373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A979C6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1894D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ED5027" w14:textId="72FEF8E5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84244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28A157" w14:textId="10C79ACB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C250CA" w14:textId="4F9B4B30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021E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7FD3D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2467E25F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4C315A8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6E1A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E6AB66" w14:textId="10E8B60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84244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4A1443" w14:textId="0A22B6E1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F82EA0" w14:textId="3DFA1A1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8A44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219E3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0ECFBA2C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64263C" w14:textId="77777777" w:rsidR="0026168C" w:rsidRPr="002B4E4C" w:rsidRDefault="0026168C" w:rsidP="0026168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BAFD3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351E4D" w14:textId="55797BD4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184244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2D831FC" w14:textId="0738B929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026B5D" w14:textId="52F066DA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B94DEB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DD87F5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B58C2F" w14:textId="77777777" w:rsidR="0026168C" w:rsidRDefault="0026168C" w:rsidP="00261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26168C" w14:paraId="6029BDC8" w14:textId="77777777" w:rsidTr="00F33D91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25EE51" w14:textId="77777777" w:rsidR="0026168C" w:rsidRPr="00E630DB" w:rsidRDefault="0026168C" w:rsidP="0026168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48C72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EFC9DEC" w14:textId="7F08BF98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C00906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33C86" w14:textId="6B660D78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-0.001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5E00F" w14:textId="6B599403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0.002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7132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6B86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3FC5BB86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C629426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A3E43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35C9E" w14:textId="7BFA1238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C00906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54EFCA" w14:textId="41701A6A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8002C8" w14:textId="44386C07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89CC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3A77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33FC8251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FB7EAC9" w14:textId="77777777" w:rsidR="0026168C" w:rsidRPr="002B4E4C" w:rsidRDefault="0026168C" w:rsidP="0026168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D218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A6E1F3" w14:textId="0421DA05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C00906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36EB3D" w14:textId="4BA83786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EB5354" w14:textId="795E8D64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8CB5C" w14:textId="77777777" w:rsidR="0026168C" w:rsidRPr="002B4E4C" w:rsidRDefault="0026168C" w:rsidP="0026168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E360D" w14:textId="77777777" w:rsidR="0026168C" w:rsidRDefault="0026168C" w:rsidP="0026168C">
            <w:pPr>
              <w:rPr>
                <w:sz w:val="20"/>
                <w:szCs w:val="20"/>
              </w:rPr>
            </w:pPr>
          </w:p>
        </w:tc>
      </w:tr>
      <w:tr w:rsidR="0026168C" w14:paraId="0CFE7933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2035FD" w14:textId="77777777" w:rsidR="0026168C" w:rsidRPr="002B4E4C" w:rsidRDefault="0026168C" w:rsidP="0026168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3C41F92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FC1D32" w14:textId="517615B3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C00906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F8FC5A" w14:textId="67DE5604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1F5E5D4" w14:textId="4E8ED437" w:rsidR="0026168C" w:rsidRPr="002B4E4C" w:rsidRDefault="0026168C" w:rsidP="0026168C">
            <w:pPr>
              <w:jc w:val="right"/>
              <w:rPr>
                <w:color w:val="000000"/>
              </w:rPr>
            </w:pPr>
            <w:r w:rsidRPr="00EA4196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17EEDC1" w14:textId="77777777" w:rsidR="0026168C" w:rsidRPr="002B4E4C" w:rsidRDefault="0026168C" w:rsidP="0026168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73C2A1" w14:textId="77777777" w:rsidR="0026168C" w:rsidRDefault="0026168C" w:rsidP="0026168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97C63C9" w14:textId="5862BA1D" w:rsidR="00BA4C4A" w:rsidRDefault="00BA4C4A" w:rsidP="00BA4C4A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equations, ‘</w:t>
      </w:r>
      <w:r>
        <w:rPr>
          <w:b/>
          <w:bCs/>
          <w:color w:val="000000"/>
        </w:rPr>
        <w:t>Single</w:t>
      </w:r>
      <w:r>
        <w:t>’ = model that contains a single wave 1 covariate in each equation, ‘</w:t>
      </w:r>
      <w:r>
        <w:rPr>
          <w:b/>
          <w:bCs/>
          <w:color w:val="000000"/>
        </w:rPr>
        <w:t>Single + All</w:t>
      </w:r>
      <w:r>
        <w:t xml:space="preserve">’ = model that contains all wave 1 </w:t>
      </w:r>
      <w:r w:rsidR="007D753A">
        <w:t>covariate</w:t>
      </w:r>
      <w:r>
        <w:t xml:space="preserve">s in the equation for </w:t>
      </w:r>
      <w:r>
        <w:rPr>
          <w:i/>
          <w:iCs/>
        </w:rPr>
        <w:t>Y</w:t>
      </w:r>
      <w:r>
        <w:t xml:space="preserve"> and a single wave 1 </w:t>
      </w:r>
      <w:r w:rsidR="007D753A">
        <w:t>covariat</w:t>
      </w:r>
      <w:r>
        <w:t>e in every other equation,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 w:rsidR="00EA4888">
        <w:rPr>
          <w:color w:val="000000"/>
        </w:rPr>
        <w:t xml:space="preserve"> </w:t>
      </w:r>
      <w:r>
        <w:rPr>
          <w:color w:val="000000"/>
        </w:rPr>
        <w:t>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</w:t>
      </w:r>
      <w:r>
        <w:rPr>
          <w:color w:val="000000"/>
        </w:rPr>
        <w:lastRenderedPageBreak/>
        <w:t>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79219A65" w14:textId="77777777" w:rsidR="00BA4C4A" w:rsidRDefault="00BA4C4A" w:rsidP="00F6494C">
      <w:pPr>
        <w:spacing w:line="480" w:lineRule="auto"/>
        <w:rPr>
          <w:color w:val="000000"/>
        </w:rPr>
      </w:pPr>
    </w:p>
    <w:p w14:paraId="501972FF" w14:textId="3B0C2CC2" w:rsidR="00727CAC" w:rsidRPr="0063347C" w:rsidRDefault="00727CAC" w:rsidP="00727CAC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>
        <w:rPr>
          <w:b/>
          <w:bCs/>
        </w:rPr>
        <w:t>5</w:t>
      </w:r>
    </w:p>
    <w:p w14:paraId="7B5D7860" w14:textId="1C7C9411" w:rsidR="00727CAC" w:rsidRDefault="00727CAC" w:rsidP="00727CAC">
      <w:pPr>
        <w:shd w:val="clear" w:color="auto" w:fill="FFFFFF"/>
        <w:spacing w:line="480" w:lineRule="auto"/>
      </w:pPr>
      <w:r>
        <w:rPr>
          <w:i/>
          <w:iCs/>
        </w:rPr>
        <w:t>Results for Analyses with mice and Imputation-then-Bootstrap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727CAC" w14:paraId="09961920" w14:textId="77777777" w:rsidTr="00F33D91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BDFEF9D" w14:textId="77777777" w:rsidR="00727CAC" w:rsidRPr="002B4E4C" w:rsidRDefault="00727CAC" w:rsidP="00F33D91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8F833DF" w14:textId="77777777" w:rsidR="00727CAC" w:rsidRPr="002B4E4C" w:rsidRDefault="00727CAC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EAEA0D" w14:textId="77777777" w:rsidR="00727CAC" w:rsidRPr="002B4E4C" w:rsidRDefault="00727CAC" w:rsidP="00F33D91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1A7C0" w14:textId="77777777" w:rsidR="00727CAC" w:rsidRPr="002B4E4C" w:rsidRDefault="00727CAC" w:rsidP="00F33D91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2D3EFB" w14:textId="77777777" w:rsidR="00727CAC" w:rsidRPr="002B4E4C" w:rsidRDefault="00727CAC" w:rsidP="00F33D91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C893" w14:textId="77777777" w:rsidR="00727CAC" w:rsidRPr="002B4E4C" w:rsidRDefault="00727CAC" w:rsidP="00F33D91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7C7B60" w14:textId="77777777" w:rsidR="00727CAC" w:rsidRDefault="00727CAC" w:rsidP="00F33D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CAC" w14:paraId="75165AAE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4E8EDB" w14:textId="77777777" w:rsidR="00727CAC" w:rsidRPr="00E630DB" w:rsidRDefault="00727CAC" w:rsidP="00727CAC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442C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312F1" w14:textId="309AC27D" w:rsidR="00727CAC" w:rsidRPr="002B4E4C" w:rsidRDefault="006B58C7" w:rsidP="00727CAC">
            <w:pPr>
              <w:jc w:val="right"/>
              <w:rPr>
                <w:color w:val="000000"/>
              </w:rPr>
            </w:pPr>
            <w:r>
              <w:t>-</w:t>
            </w:r>
            <w:r w:rsidR="00727CAC" w:rsidRPr="009E228B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3FA81E9" w14:textId="1BA1C3C9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56CA18" w14:textId="70DBDE6B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DDB3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CF3EB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07C070C7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5A1BD05" w14:textId="77777777" w:rsidR="00727CAC" w:rsidRPr="002B4E4C" w:rsidRDefault="00727CAC" w:rsidP="00727CA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3BD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E25B4B" w14:textId="3B91A37E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9E228B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519B9" w14:textId="538DB3B0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48A101" w14:textId="1156EC4D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7231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A7894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1BEFE544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7CB33FCE" w14:textId="77777777" w:rsidR="00727CAC" w:rsidRPr="002B4E4C" w:rsidRDefault="00727CAC" w:rsidP="00727CA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6EA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D12A2E6" w14:textId="101525A1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9E228B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F002B9F" w14:textId="6B5E2C76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49632FA" w14:textId="29093565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E6DD8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D2E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4B2D911A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3B163A" w14:textId="77777777" w:rsidR="00727CAC" w:rsidRPr="002B4E4C" w:rsidRDefault="00727CAC" w:rsidP="00727CA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D09593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06EE75" w14:textId="46C409EB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9E228B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F6F857" w14:textId="26833075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A1E26B" w14:textId="5C37CD22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D3997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780149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D5FBE7" w14:textId="77777777" w:rsidR="00727CAC" w:rsidRDefault="00727CAC" w:rsidP="00727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CAC" w14:paraId="3106E8DC" w14:textId="77777777" w:rsidTr="00F33D91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247786" w14:textId="77777777" w:rsidR="00727CAC" w:rsidRPr="00E630DB" w:rsidRDefault="00727CAC" w:rsidP="00727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A2ACB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882CA" w14:textId="52876E2E" w:rsidR="00727CAC" w:rsidRPr="002B4E4C" w:rsidRDefault="006B58C7" w:rsidP="00727CAC">
            <w:pPr>
              <w:jc w:val="right"/>
              <w:rPr>
                <w:color w:val="000000"/>
              </w:rPr>
            </w:pPr>
            <w:r>
              <w:t>-</w:t>
            </w:r>
            <w:r w:rsidR="00727CAC" w:rsidRPr="00147DAF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5E5F71" w14:textId="2C6530DA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8046A5" w14:textId="1994B5D6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3048D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828B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787C9276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201C02" w14:textId="77777777" w:rsidR="00727CAC" w:rsidRPr="002B4E4C" w:rsidRDefault="00727CAC" w:rsidP="00727CA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5BA1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B26B3" w14:textId="448C1270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147DAF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987A91" w14:textId="0D835B48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A2E8D7" w14:textId="6B6D2A6F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439E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D121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202FD1C1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0BB0E7" w14:textId="77777777" w:rsidR="00727CAC" w:rsidRPr="002B4E4C" w:rsidRDefault="00727CAC" w:rsidP="00727CA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E7E64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936817" w14:textId="03FB8B4E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147DAF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0D292C" w14:textId="1F6A1196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FF17B17" w14:textId="58D77E1E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EFCF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927D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67409C55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8E94D4" w14:textId="77777777" w:rsidR="00727CAC" w:rsidRPr="002B4E4C" w:rsidRDefault="00727CAC" w:rsidP="00727CA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F0804E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76EA69" w14:textId="1DA24E2F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147DAF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0B68DB" w14:textId="5EAFAAFA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C26191" w14:textId="55C0EC47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3501CA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25C082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703FC" w14:textId="77777777" w:rsidR="00727CAC" w:rsidRDefault="00727CAC" w:rsidP="00727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27CAC" w14:paraId="238250D3" w14:textId="77777777" w:rsidTr="00F33D91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BA5527" w14:textId="77777777" w:rsidR="00727CAC" w:rsidRPr="00E630DB" w:rsidRDefault="00727CAC" w:rsidP="00727CAC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17EB3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468873" w14:textId="3C23FED7" w:rsidR="00727CAC" w:rsidRPr="002B4E4C" w:rsidRDefault="006B58C7" w:rsidP="00727CAC">
            <w:pPr>
              <w:jc w:val="right"/>
              <w:rPr>
                <w:color w:val="000000"/>
              </w:rPr>
            </w:pPr>
            <w:r>
              <w:t>-</w:t>
            </w:r>
            <w:r w:rsidR="00727CAC" w:rsidRPr="005F084E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ED5B27" w14:textId="6F09FBD5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CEA38F" w14:textId="74BB57A2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8E3A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E027D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02C1352D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637934" w14:textId="77777777" w:rsidR="00727CAC" w:rsidRPr="002B4E4C" w:rsidRDefault="00727CAC" w:rsidP="00727CA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DB5D4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55C1B" w14:textId="5AA949D8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5F084E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CB6CB3" w14:textId="5D931A8F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15D049" w14:textId="07195DB4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488BD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9D32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65C22F47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921A0B1" w14:textId="77777777" w:rsidR="00727CAC" w:rsidRPr="002B4E4C" w:rsidRDefault="00727CAC" w:rsidP="00727CAC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E909F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9EEC4A" w14:textId="55E6C05B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5F084E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DBCC7D" w14:textId="0C1452ED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40D01F" w14:textId="503D9FD4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D00B8" w14:textId="77777777" w:rsidR="00727CAC" w:rsidRPr="002B4E4C" w:rsidRDefault="00727CAC" w:rsidP="00727CAC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142F3" w14:textId="77777777" w:rsidR="00727CAC" w:rsidRDefault="00727CAC" w:rsidP="00727CAC">
            <w:pPr>
              <w:rPr>
                <w:sz w:val="20"/>
                <w:szCs w:val="20"/>
              </w:rPr>
            </w:pPr>
          </w:p>
        </w:tc>
      </w:tr>
      <w:tr w:rsidR="00727CAC" w14:paraId="34316953" w14:textId="77777777" w:rsidTr="00F33D91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9CB02D" w14:textId="77777777" w:rsidR="00727CAC" w:rsidRPr="002B4E4C" w:rsidRDefault="00727CAC" w:rsidP="00727CAC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1F9214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33DA0A" w14:textId="71B862FD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5F084E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408421" w14:textId="3C8D155A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19BF4E" w14:textId="387B4E70" w:rsidR="00727CAC" w:rsidRPr="002B4E4C" w:rsidRDefault="00727CAC" w:rsidP="00727CAC">
            <w:pPr>
              <w:jc w:val="right"/>
              <w:rPr>
                <w:color w:val="000000"/>
              </w:rPr>
            </w:pPr>
            <w:r w:rsidRPr="00A66B02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CCDA97" w14:textId="77777777" w:rsidR="00727CAC" w:rsidRPr="002B4E4C" w:rsidRDefault="00727CAC" w:rsidP="00727CAC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EAC917" w14:textId="77777777" w:rsidR="00727CAC" w:rsidRDefault="00727CAC" w:rsidP="00727C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A6D6CA5" w14:textId="5E8ADC80" w:rsidR="00F6494C" w:rsidRDefault="00727CAC" w:rsidP="00DF3A3F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</w:t>
      </w:r>
      <w:r w:rsidR="000051FC">
        <w:t xml:space="preserve">, </w:t>
      </w:r>
      <w:r>
        <w:t>‘</w:t>
      </w:r>
      <w:r>
        <w:rPr>
          <w:b/>
          <w:bCs/>
          <w:color w:val="000000"/>
        </w:rPr>
        <w:t>Single</w:t>
      </w:r>
      <w:r>
        <w:t>’ = model that contains a single wave 1 covariate in each equation, ‘</w:t>
      </w:r>
      <w:r>
        <w:rPr>
          <w:b/>
          <w:bCs/>
          <w:color w:val="000000"/>
        </w:rPr>
        <w:t>Single + All</w:t>
      </w:r>
      <w:r>
        <w:t xml:space="preserve">’ = model that contains all wave 1 </w:t>
      </w:r>
      <w:r w:rsidR="007D753A">
        <w:t>covariate</w:t>
      </w:r>
      <w:r>
        <w:t xml:space="preserve">s in the equation for </w:t>
      </w:r>
      <w:r>
        <w:rPr>
          <w:i/>
          <w:iCs/>
        </w:rPr>
        <w:t>Y</w:t>
      </w:r>
      <w:r>
        <w:t xml:space="preserve"> and a single wave 1 </w:t>
      </w:r>
      <w:r w:rsidR="007D753A">
        <w:t>covariate</w:t>
      </w:r>
      <w:r>
        <w:t xml:space="preserve"> in every other equation,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 w:rsidR="00EA4888">
        <w:rPr>
          <w:color w:val="000000"/>
        </w:rPr>
        <w:t xml:space="preserve"> </w:t>
      </w:r>
      <w:r>
        <w:rPr>
          <w:color w:val="000000"/>
        </w:rPr>
        <w:t>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43C3ACE5" w14:textId="44CC986B" w:rsidR="00F077E4" w:rsidRDefault="00F077E4" w:rsidP="00DF3A3F">
      <w:pPr>
        <w:spacing w:line="480" w:lineRule="auto"/>
        <w:rPr>
          <w:color w:val="000000"/>
        </w:rPr>
      </w:pPr>
    </w:p>
    <w:p w14:paraId="780028CB" w14:textId="7ED15CF3" w:rsidR="00F077E4" w:rsidRDefault="00F077E4" w:rsidP="00DF3A3F">
      <w:pPr>
        <w:spacing w:line="480" w:lineRule="auto"/>
      </w:pPr>
      <w:r>
        <w:rPr>
          <w:color w:val="000000"/>
        </w:rPr>
        <w:t>Examining Tables 2, 3, 4, and 5, we see that the only</w:t>
      </w:r>
      <w:r w:rsidR="003C1A54">
        <w:rPr>
          <w:color w:val="000000"/>
        </w:rPr>
        <w:t xml:space="preserve"> two</w:t>
      </w:r>
      <w:r>
        <w:rPr>
          <w:color w:val="000000"/>
        </w:rPr>
        <w:t xml:space="preserve"> </w:t>
      </w:r>
      <w:r w:rsidR="003C1A54">
        <w:rPr>
          <w:color w:val="000000"/>
        </w:rPr>
        <w:t>instances</w:t>
      </w:r>
      <w:r>
        <w:rPr>
          <w:color w:val="000000"/>
        </w:rPr>
        <w:t xml:space="preserve"> </w:t>
      </w:r>
      <w:r w:rsidR="003C1A54">
        <w:rPr>
          <w:color w:val="000000"/>
        </w:rPr>
        <w:t>where</w:t>
      </w:r>
      <w:r>
        <w:rPr>
          <w:color w:val="000000"/>
        </w:rPr>
        <w:t xml:space="preserve"> the conclusions reached</w:t>
      </w:r>
      <w:r w:rsidR="0013331D">
        <w:rPr>
          <w:color w:val="000000"/>
        </w:rPr>
        <w:t xml:space="preserve"> differ from the conclusions reached in our final analysis</w:t>
      </w:r>
      <w:r>
        <w:rPr>
          <w:color w:val="000000"/>
        </w:rPr>
        <w:t xml:space="preserve"> </w:t>
      </w:r>
      <w:r w:rsidR="003C1A54">
        <w:rPr>
          <w:color w:val="000000"/>
        </w:rPr>
        <w:t>occur</w:t>
      </w:r>
      <w:r>
        <w:rPr>
          <w:color w:val="000000"/>
        </w:rPr>
        <w:t xml:space="preserve"> in Table </w:t>
      </w:r>
      <w:r w:rsidR="0013331D">
        <w:rPr>
          <w:color w:val="000000"/>
        </w:rPr>
        <w:t xml:space="preserve">3: When </w:t>
      </w:r>
      <w:r w:rsidR="003C1A54">
        <w:rPr>
          <w:color w:val="000000"/>
        </w:rPr>
        <w:t xml:space="preserve">conducting multiple imputation using mice with the bootstrap-then-imputation procedure and the </w:t>
      </w:r>
      <w:r w:rsidR="003C1A54">
        <w:rPr>
          <w:color w:val="000000"/>
        </w:rPr>
        <w:lastRenderedPageBreak/>
        <w:t xml:space="preserve">model </w:t>
      </w:r>
      <w:r w:rsidR="00325103">
        <w:rPr>
          <w:color w:val="000000"/>
        </w:rPr>
        <w:t xml:space="preserve">that </w:t>
      </w:r>
      <w:r w:rsidR="003C1A54">
        <w:rPr>
          <w:color w:val="000000"/>
        </w:rPr>
        <w:t xml:space="preserve">contains either a single wave 1 variable in each equation or </w:t>
      </w:r>
      <w:r w:rsidR="003C1A54">
        <w:t xml:space="preserve">all wave 1 variables in the equation for </w:t>
      </w:r>
      <w:r w:rsidR="003C1A54">
        <w:rPr>
          <w:i/>
          <w:iCs/>
        </w:rPr>
        <w:t>Y</w:t>
      </w:r>
      <w:r w:rsidR="003C1A54">
        <w:t xml:space="preserve"> with a single wave 1 variable in every other equation, the total indirect effect is not significantly different from zero (i.e., the confidence intervals for the total indirect effects in these models contain zero).</w:t>
      </w:r>
      <w:r w:rsidR="00EA4888">
        <w:t xml:space="preserve"> The conclusions reached about the specific indirect effects</w:t>
      </w:r>
      <w:r w:rsidR="002F0A08">
        <w:t>, on the other hand,</w:t>
      </w:r>
      <w:r w:rsidR="00EA4888">
        <w:t xml:space="preserve"> are always the same regardless of the analysis conducted: </w:t>
      </w:r>
      <w:r w:rsidR="002F0A08">
        <w:t>T</w:t>
      </w:r>
      <w:r w:rsidR="00EA4888">
        <w:t xml:space="preserve">he specific indirect effect through wave 2 </w:t>
      </w:r>
      <w:r w:rsidR="00161ABD">
        <w:t>ethnic</w:t>
      </w:r>
      <w:r w:rsidR="00EA4888">
        <w:t xml:space="preserve"> </w:t>
      </w:r>
      <w:r w:rsidR="0042371A">
        <w:t>private regard</w:t>
      </w:r>
      <w:r w:rsidR="00EA4888">
        <w:t xml:space="preserve"> is always found to significantly differ from zero</w:t>
      </w:r>
      <w:r w:rsidR="00A27E6F">
        <w:t xml:space="preserve">, </w:t>
      </w:r>
      <w:r w:rsidR="00325103">
        <w:t>and</w:t>
      </w:r>
      <w:r w:rsidR="00A27E6F">
        <w:t xml:space="preserve"> the other two specific indirect effects are n</w:t>
      </w:r>
      <w:r w:rsidR="00BF55A9">
        <w:t>ever</w:t>
      </w:r>
      <w:r w:rsidR="00A27E6F">
        <w:t xml:space="preserve"> significant</w:t>
      </w:r>
      <w:r w:rsidR="00EA4888">
        <w:t>.</w:t>
      </w:r>
    </w:p>
    <w:p w14:paraId="10830384" w14:textId="77777777" w:rsidR="0074187D" w:rsidRDefault="0074187D" w:rsidP="00DF3A3F">
      <w:pPr>
        <w:spacing w:line="480" w:lineRule="auto"/>
      </w:pPr>
    </w:p>
    <w:p w14:paraId="3371252C" w14:textId="0C087B97" w:rsidR="00011098" w:rsidRPr="00011098" w:rsidRDefault="00011098" w:rsidP="00DF3A3F">
      <w:pPr>
        <w:spacing w:line="480" w:lineRule="auto"/>
        <w:rPr>
          <w:b/>
          <w:bCs/>
        </w:rPr>
      </w:pPr>
      <w:r w:rsidRPr="00011098">
        <w:rPr>
          <w:b/>
          <w:bCs/>
        </w:rPr>
        <w:t>Sensitivity Analysis 2</w:t>
      </w:r>
      <w:r w:rsidR="002D6820">
        <w:rPr>
          <w:b/>
          <w:bCs/>
        </w:rPr>
        <w:t xml:space="preserve"> (Demographic Variables Included)</w:t>
      </w:r>
    </w:p>
    <w:p w14:paraId="25FAAB73" w14:textId="4D7723AE" w:rsidR="00547EE4" w:rsidRPr="006B620E" w:rsidRDefault="00547EE4" w:rsidP="00547EE4">
      <w:pPr>
        <w:spacing w:line="480" w:lineRule="auto"/>
        <w:rPr>
          <w:b/>
          <w:bCs/>
          <w:i/>
          <w:iCs/>
        </w:rPr>
      </w:pPr>
      <w:r w:rsidRPr="006B620E">
        <w:rPr>
          <w:b/>
          <w:bCs/>
          <w:i/>
          <w:iCs/>
        </w:rPr>
        <w:t>Missing Data Rates</w:t>
      </w:r>
    </w:p>
    <w:tbl>
      <w:tblPr>
        <w:tblStyle w:val="TableGrid"/>
        <w:tblpPr w:leftFromText="180" w:rightFromText="180" w:vertAnchor="text" w:horzAnchor="margin" w:tblpY="1702"/>
        <w:tblW w:w="9360" w:type="dxa"/>
        <w:tblLayout w:type="fixed"/>
        <w:tblLook w:val="04A0" w:firstRow="1" w:lastRow="0" w:firstColumn="1" w:lastColumn="0" w:noHBand="0" w:noVBand="1"/>
      </w:tblPr>
      <w:tblGrid>
        <w:gridCol w:w="1080"/>
        <w:gridCol w:w="1170"/>
        <w:gridCol w:w="990"/>
        <w:gridCol w:w="1170"/>
        <w:gridCol w:w="990"/>
        <w:gridCol w:w="990"/>
        <w:gridCol w:w="720"/>
        <w:gridCol w:w="990"/>
        <w:gridCol w:w="1260"/>
      </w:tblGrid>
      <w:tr w:rsidR="00493F7F" w:rsidRPr="00222F94" w14:paraId="7FE31A66" w14:textId="48CCC831" w:rsidTr="00161ABD">
        <w:tc>
          <w:tcPr>
            <w:tcW w:w="1080" w:type="dxa"/>
            <w:tcBorders>
              <w:top w:val="nil"/>
              <w:left w:val="nil"/>
            </w:tcBorders>
          </w:tcPr>
          <w:p w14:paraId="1C901CB7" w14:textId="77777777" w:rsidR="00547EE4" w:rsidRPr="00161ABD" w:rsidRDefault="00547EE4" w:rsidP="00493F7F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14:paraId="5FAA6C53" w14:textId="77777777" w:rsidR="00547EE4" w:rsidRPr="00161ABD" w:rsidRDefault="00547EE4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Affected by SB 1070</w:t>
            </w:r>
          </w:p>
        </w:tc>
        <w:tc>
          <w:tcPr>
            <w:tcW w:w="990" w:type="dxa"/>
          </w:tcPr>
          <w:p w14:paraId="280A8FCF" w14:textId="77777777" w:rsidR="00547EE4" w:rsidRPr="00161ABD" w:rsidRDefault="00547EE4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Self-Esteem</w:t>
            </w:r>
          </w:p>
        </w:tc>
        <w:tc>
          <w:tcPr>
            <w:tcW w:w="1170" w:type="dxa"/>
          </w:tcPr>
          <w:p w14:paraId="383BC201" w14:textId="1039FEE8" w:rsidR="00547EE4" w:rsidRPr="00161ABD" w:rsidRDefault="00547EE4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Ethnic Centrality</w:t>
            </w:r>
          </w:p>
        </w:tc>
        <w:tc>
          <w:tcPr>
            <w:tcW w:w="990" w:type="dxa"/>
          </w:tcPr>
          <w:p w14:paraId="678E76FA" w14:textId="196AF2C5" w:rsidR="00547EE4" w:rsidRPr="00161ABD" w:rsidRDefault="00161ABD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Ethnic</w:t>
            </w:r>
            <w:r w:rsidR="00547EE4" w:rsidRPr="00161ABD">
              <w:rPr>
                <w:sz w:val="22"/>
                <w:szCs w:val="22"/>
              </w:rPr>
              <w:t xml:space="preserve"> Private Regard</w:t>
            </w:r>
          </w:p>
        </w:tc>
        <w:tc>
          <w:tcPr>
            <w:tcW w:w="990" w:type="dxa"/>
          </w:tcPr>
          <w:p w14:paraId="5F77541F" w14:textId="35EA69C1" w:rsidR="00547EE4" w:rsidRPr="00161ABD" w:rsidRDefault="00161ABD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Ethnic</w:t>
            </w:r>
            <w:r w:rsidR="00547EE4" w:rsidRPr="00161ABD">
              <w:rPr>
                <w:sz w:val="22"/>
                <w:szCs w:val="22"/>
              </w:rPr>
              <w:t xml:space="preserve"> Public Regard</w:t>
            </w:r>
          </w:p>
        </w:tc>
        <w:tc>
          <w:tcPr>
            <w:tcW w:w="720" w:type="dxa"/>
          </w:tcPr>
          <w:p w14:paraId="4EF98BD4" w14:textId="6EFAE06C" w:rsidR="00547EE4" w:rsidRPr="00161ABD" w:rsidRDefault="00547EE4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Age</w:t>
            </w:r>
          </w:p>
        </w:tc>
        <w:tc>
          <w:tcPr>
            <w:tcW w:w="990" w:type="dxa"/>
          </w:tcPr>
          <w:p w14:paraId="45772FF2" w14:textId="5A0FE601" w:rsidR="00547EE4" w:rsidRPr="00161ABD" w:rsidRDefault="004F0D5E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Gender</w:t>
            </w:r>
          </w:p>
        </w:tc>
        <w:tc>
          <w:tcPr>
            <w:tcW w:w="1260" w:type="dxa"/>
          </w:tcPr>
          <w:p w14:paraId="7328E194" w14:textId="68C2B5BA" w:rsidR="00547EE4" w:rsidRPr="00161ABD" w:rsidRDefault="00547EE4" w:rsidP="00161ABD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Immigra</w:t>
            </w:r>
            <w:r w:rsidR="004F0D5E" w:rsidRPr="00161ABD">
              <w:rPr>
                <w:sz w:val="22"/>
                <w:szCs w:val="22"/>
              </w:rPr>
              <w:t>nt Generation</w:t>
            </w:r>
          </w:p>
        </w:tc>
      </w:tr>
      <w:tr w:rsidR="00493F7F" w:rsidRPr="00222F94" w14:paraId="033C346D" w14:textId="0262EC8C" w:rsidTr="00161ABD">
        <w:tc>
          <w:tcPr>
            <w:tcW w:w="1080" w:type="dxa"/>
          </w:tcPr>
          <w:p w14:paraId="4678C5E6" w14:textId="2959E21C" w:rsidR="00547EE4" w:rsidRPr="00161ABD" w:rsidRDefault="00547EE4" w:rsidP="00493F7F">
            <w:pPr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Auxiliary Var</w:t>
            </w:r>
          </w:p>
        </w:tc>
        <w:tc>
          <w:tcPr>
            <w:tcW w:w="1170" w:type="dxa"/>
          </w:tcPr>
          <w:p w14:paraId="224CD25C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NA</w:t>
            </w:r>
          </w:p>
        </w:tc>
        <w:tc>
          <w:tcPr>
            <w:tcW w:w="990" w:type="dxa"/>
          </w:tcPr>
          <w:p w14:paraId="782EEA09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42%</w:t>
            </w:r>
          </w:p>
        </w:tc>
        <w:tc>
          <w:tcPr>
            <w:tcW w:w="1170" w:type="dxa"/>
          </w:tcPr>
          <w:p w14:paraId="3AD55A93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42%</w:t>
            </w:r>
          </w:p>
        </w:tc>
        <w:tc>
          <w:tcPr>
            <w:tcW w:w="990" w:type="dxa"/>
          </w:tcPr>
          <w:p w14:paraId="26008442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42%</w:t>
            </w:r>
          </w:p>
        </w:tc>
        <w:tc>
          <w:tcPr>
            <w:tcW w:w="990" w:type="dxa"/>
          </w:tcPr>
          <w:p w14:paraId="7CDE9D0F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42%</w:t>
            </w:r>
          </w:p>
        </w:tc>
        <w:tc>
          <w:tcPr>
            <w:tcW w:w="720" w:type="dxa"/>
          </w:tcPr>
          <w:p w14:paraId="0EBCF134" w14:textId="5C9C7A9A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42%</w:t>
            </w:r>
          </w:p>
        </w:tc>
        <w:tc>
          <w:tcPr>
            <w:tcW w:w="990" w:type="dxa"/>
          </w:tcPr>
          <w:p w14:paraId="5DBEC2FE" w14:textId="43C53D24" w:rsidR="00547EE4" w:rsidRPr="00161ABD" w:rsidRDefault="00D73988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42%</w:t>
            </w:r>
          </w:p>
        </w:tc>
        <w:tc>
          <w:tcPr>
            <w:tcW w:w="1260" w:type="dxa"/>
          </w:tcPr>
          <w:p w14:paraId="28195B0D" w14:textId="3C5E3418" w:rsidR="00547EE4" w:rsidRPr="00161ABD" w:rsidRDefault="00AA1FFE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38%</w:t>
            </w:r>
          </w:p>
        </w:tc>
      </w:tr>
      <w:tr w:rsidR="00493F7F" w:rsidRPr="00222F94" w14:paraId="0E3C514F" w14:textId="6FC6D14C" w:rsidTr="00161ABD">
        <w:tc>
          <w:tcPr>
            <w:tcW w:w="1080" w:type="dxa"/>
          </w:tcPr>
          <w:p w14:paraId="37B3E355" w14:textId="77777777" w:rsidR="00547EE4" w:rsidRPr="00161ABD" w:rsidRDefault="00547EE4" w:rsidP="00493F7F">
            <w:pPr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Wave 1</w:t>
            </w:r>
          </w:p>
        </w:tc>
        <w:tc>
          <w:tcPr>
            <w:tcW w:w="1170" w:type="dxa"/>
          </w:tcPr>
          <w:p w14:paraId="0B251464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34%</w:t>
            </w:r>
          </w:p>
        </w:tc>
        <w:tc>
          <w:tcPr>
            <w:tcW w:w="990" w:type="dxa"/>
          </w:tcPr>
          <w:p w14:paraId="288C0903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29%</w:t>
            </w:r>
          </w:p>
        </w:tc>
        <w:tc>
          <w:tcPr>
            <w:tcW w:w="1170" w:type="dxa"/>
          </w:tcPr>
          <w:p w14:paraId="1F4272E9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28%</w:t>
            </w:r>
          </w:p>
        </w:tc>
        <w:tc>
          <w:tcPr>
            <w:tcW w:w="990" w:type="dxa"/>
          </w:tcPr>
          <w:p w14:paraId="533F1EAC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28%</w:t>
            </w:r>
          </w:p>
        </w:tc>
        <w:tc>
          <w:tcPr>
            <w:tcW w:w="990" w:type="dxa"/>
          </w:tcPr>
          <w:p w14:paraId="37889802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28%</w:t>
            </w:r>
          </w:p>
        </w:tc>
        <w:tc>
          <w:tcPr>
            <w:tcW w:w="720" w:type="dxa"/>
          </w:tcPr>
          <w:p w14:paraId="5E9D6341" w14:textId="434716F9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28%</w:t>
            </w:r>
          </w:p>
        </w:tc>
        <w:tc>
          <w:tcPr>
            <w:tcW w:w="990" w:type="dxa"/>
          </w:tcPr>
          <w:p w14:paraId="3CC7961E" w14:textId="08601440" w:rsidR="00547EE4" w:rsidRPr="00161ABD" w:rsidRDefault="00D73988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28%</w:t>
            </w:r>
          </w:p>
        </w:tc>
        <w:tc>
          <w:tcPr>
            <w:tcW w:w="1260" w:type="dxa"/>
          </w:tcPr>
          <w:p w14:paraId="39583DB5" w14:textId="476C970C" w:rsidR="00547EE4" w:rsidRPr="00161ABD" w:rsidRDefault="00D73988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28%</w:t>
            </w:r>
          </w:p>
        </w:tc>
      </w:tr>
      <w:tr w:rsidR="00493F7F" w:rsidRPr="00222F94" w14:paraId="41BC1EE9" w14:textId="09440E37" w:rsidTr="00161ABD">
        <w:tc>
          <w:tcPr>
            <w:tcW w:w="1080" w:type="dxa"/>
          </w:tcPr>
          <w:p w14:paraId="3B07E93D" w14:textId="77777777" w:rsidR="00547EE4" w:rsidRPr="00161ABD" w:rsidRDefault="00547EE4" w:rsidP="00493F7F">
            <w:pPr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Wave 2</w:t>
            </w:r>
          </w:p>
        </w:tc>
        <w:tc>
          <w:tcPr>
            <w:tcW w:w="1170" w:type="dxa"/>
          </w:tcPr>
          <w:p w14:paraId="398BA313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NA</w:t>
            </w:r>
          </w:p>
        </w:tc>
        <w:tc>
          <w:tcPr>
            <w:tcW w:w="990" w:type="dxa"/>
          </w:tcPr>
          <w:p w14:paraId="3CFBE88B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38%</w:t>
            </w:r>
          </w:p>
        </w:tc>
        <w:tc>
          <w:tcPr>
            <w:tcW w:w="1170" w:type="dxa"/>
          </w:tcPr>
          <w:p w14:paraId="2714F1C4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38%</w:t>
            </w:r>
          </w:p>
        </w:tc>
        <w:tc>
          <w:tcPr>
            <w:tcW w:w="990" w:type="dxa"/>
          </w:tcPr>
          <w:p w14:paraId="698BBACD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38%</w:t>
            </w:r>
          </w:p>
        </w:tc>
        <w:tc>
          <w:tcPr>
            <w:tcW w:w="990" w:type="dxa"/>
          </w:tcPr>
          <w:p w14:paraId="308A3911" w14:textId="77777777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38%</w:t>
            </w:r>
          </w:p>
        </w:tc>
        <w:tc>
          <w:tcPr>
            <w:tcW w:w="720" w:type="dxa"/>
          </w:tcPr>
          <w:p w14:paraId="27F917AA" w14:textId="26C6DB58" w:rsidR="00547EE4" w:rsidRPr="00161ABD" w:rsidRDefault="00547EE4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NA</w:t>
            </w:r>
          </w:p>
        </w:tc>
        <w:tc>
          <w:tcPr>
            <w:tcW w:w="990" w:type="dxa"/>
          </w:tcPr>
          <w:p w14:paraId="7E2CF705" w14:textId="29F6E28F" w:rsidR="00547EE4" w:rsidRPr="00161ABD" w:rsidRDefault="00D73988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NA</w:t>
            </w:r>
          </w:p>
        </w:tc>
        <w:tc>
          <w:tcPr>
            <w:tcW w:w="1260" w:type="dxa"/>
          </w:tcPr>
          <w:p w14:paraId="12E21612" w14:textId="369D17A0" w:rsidR="00547EE4" w:rsidRPr="00161ABD" w:rsidRDefault="00AA1FFE" w:rsidP="00493F7F">
            <w:pPr>
              <w:jc w:val="center"/>
              <w:rPr>
                <w:sz w:val="22"/>
                <w:szCs w:val="22"/>
              </w:rPr>
            </w:pPr>
            <w:r w:rsidRPr="00161ABD">
              <w:rPr>
                <w:sz w:val="22"/>
                <w:szCs w:val="22"/>
              </w:rPr>
              <w:t>NA</w:t>
            </w:r>
          </w:p>
        </w:tc>
      </w:tr>
    </w:tbl>
    <w:p w14:paraId="68FAB366" w14:textId="309631F5" w:rsidR="00547EE4" w:rsidRPr="00436908" w:rsidRDefault="00547EE4" w:rsidP="00547EE4">
      <w:pPr>
        <w:spacing w:line="480" w:lineRule="auto"/>
      </w:pPr>
      <w:r w:rsidRPr="00436908">
        <w:t>The following missing data percentages were observed in the variables included in the analysis model (analysis variables)</w:t>
      </w:r>
      <w:r>
        <w:t xml:space="preserve"> and the auxiliary variables used in the imputation procedure for </w:t>
      </w:r>
      <w:r w:rsidR="009E1D5B">
        <w:t>the second sensitivity analysis</w:t>
      </w:r>
      <w:r w:rsidR="00510796">
        <w:t>:</w:t>
      </w:r>
    </w:p>
    <w:p w14:paraId="2D01D151" w14:textId="77777777" w:rsidR="00510796" w:rsidRDefault="00510796" w:rsidP="00510796">
      <w:pPr>
        <w:spacing w:line="480" w:lineRule="auto"/>
        <w:rPr>
          <w:b/>
          <w:bCs/>
        </w:rPr>
      </w:pPr>
    </w:p>
    <w:p w14:paraId="2ACB006D" w14:textId="3CCD1844" w:rsidR="00510796" w:rsidRPr="006B620E" w:rsidRDefault="00510796" w:rsidP="00510796">
      <w:pPr>
        <w:spacing w:line="480" w:lineRule="auto"/>
        <w:rPr>
          <w:b/>
          <w:bCs/>
          <w:i/>
          <w:iCs/>
        </w:rPr>
      </w:pPr>
      <w:r w:rsidRPr="006B620E">
        <w:rPr>
          <w:b/>
          <w:bCs/>
          <w:i/>
          <w:iCs/>
        </w:rPr>
        <w:t>Imputation/Analysis Procedure Details</w:t>
      </w:r>
    </w:p>
    <w:p w14:paraId="48DC235F" w14:textId="3C146A99" w:rsidR="00510796" w:rsidRDefault="006B769E" w:rsidP="00510796">
      <w:pPr>
        <w:spacing w:line="480" w:lineRule="auto"/>
        <w:ind w:firstLine="720"/>
      </w:pPr>
      <w:r>
        <w:t xml:space="preserve">The exact same model-based multiple imputation procedure implemented in Blimp that was used for the </w:t>
      </w:r>
      <w:r w:rsidR="009545A1">
        <w:t xml:space="preserve">original imputation </w:t>
      </w:r>
      <w:r>
        <w:t>of th</w:t>
      </w:r>
      <w:r w:rsidR="00D42580">
        <w:t>is</w:t>
      </w:r>
      <w:r>
        <w:t xml:space="preserve"> paper was used here as well</w:t>
      </w:r>
      <w:r w:rsidR="008C5189">
        <w:t>,</w:t>
      </w:r>
      <w:r>
        <w:t xml:space="preserve"> with </w:t>
      </w:r>
      <w:r w:rsidR="00D42580">
        <w:t>the following</w:t>
      </w:r>
      <w:r>
        <w:t xml:space="preserve"> exception</w:t>
      </w:r>
      <w:r w:rsidR="00D42580">
        <w:t>s</w:t>
      </w:r>
      <w:r>
        <w:t xml:space="preserve">: </w:t>
      </w:r>
      <w:r w:rsidR="00D34E97">
        <w:t>age</w:t>
      </w:r>
      <w:r w:rsidR="00D42580">
        <w:t xml:space="preserve">, </w:t>
      </w:r>
      <w:r w:rsidR="00D34E97">
        <w:t>gender</w:t>
      </w:r>
      <w:r w:rsidR="00D42580">
        <w:t xml:space="preserve">, and </w:t>
      </w:r>
      <w:r w:rsidR="00D34E97">
        <w:t>immigrant generation</w:t>
      </w:r>
      <w:r w:rsidR="00D42580">
        <w:t xml:space="preserve"> measurements taken at </w:t>
      </w:r>
      <w:r w:rsidR="00D34E97">
        <w:t>wave 1</w:t>
      </w:r>
      <w:r w:rsidR="00D42580">
        <w:t xml:space="preserve"> were added to the </w:t>
      </w:r>
      <w:r w:rsidR="00FA7DDE">
        <w:t xml:space="preserve">main analysis </w:t>
      </w:r>
      <w:r w:rsidR="00D42580">
        <w:t xml:space="preserve">models, and measurements taken on all three variables prior to </w:t>
      </w:r>
      <w:r w:rsidR="00D34E97">
        <w:t>wave 1</w:t>
      </w:r>
      <w:r w:rsidR="00D42580">
        <w:t xml:space="preserve"> were used as auxiliary variables. The dichotomous </w:t>
      </w:r>
      <w:r w:rsidR="00D34E97">
        <w:t>gender</w:t>
      </w:r>
      <w:r w:rsidR="00D42580">
        <w:t xml:space="preserve"> and </w:t>
      </w:r>
      <w:proofErr w:type="spellStart"/>
      <w:r w:rsidR="00D42580">
        <w:t>multicategorical</w:t>
      </w:r>
      <w:proofErr w:type="spellEnd"/>
      <w:r w:rsidR="00D42580">
        <w:t xml:space="preserve"> </w:t>
      </w:r>
      <w:r w:rsidR="00D34E97">
        <w:t>immigrant generation</w:t>
      </w:r>
      <w:r w:rsidR="00D42580">
        <w:t xml:space="preserve"> </w:t>
      </w:r>
      <w:r w:rsidR="00D42580">
        <w:lastRenderedPageBreak/>
        <w:t xml:space="preserve">variables were treated as ordinal variables in Blimp to account for their discrete nature. Also, the most up-to-date version of </w:t>
      </w:r>
      <w:r w:rsidR="00510796" w:rsidRPr="001B5F50">
        <w:t xml:space="preserve">Blimp </w:t>
      </w:r>
      <w:r w:rsidR="00D42580">
        <w:t>(</w:t>
      </w:r>
      <w:r w:rsidR="00510796" w:rsidRPr="001B5F50">
        <w:t>Version 3.0.</w:t>
      </w:r>
      <w:r w:rsidR="00D42580">
        <w:t xml:space="preserve">66; </w:t>
      </w:r>
      <w:r w:rsidR="00510796" w:rsidRPr="001B5F50">
        <w:t>Keller &amp; Enders, 202</w:t>
      </w:r>
      <w:r w:rsidR="00D42580">
        <w:t>2</w:t>
      </w:r>
      <w:r w:rsidR="00510796" w:rsidRPr="001B5F50">
        <w:t>)</w:t>
      </w:r>
      <w:r w:rsidR="00D42580">
        <w:t xml:space="preserve"> was used</w:t>
      </w:r>
      <w:r w:rsidR="00510796" w:rsidRPr="001B5F50">
        <w:t>.</w:t>
      </w:r>
      <w:r w:rsidR="00510796">
        <w:t xml:space="preserve"> The Blimp script used to carry out th</w:t>
      </w:r>
      <w:r w:rsidR="009545A1">
        <w:t>is</w:t>
      </w:r>
      <w:r w:rsidR="00510796">
        <w:t xml:space="preserve"> imputation procedure is available at </w:t>
      </w:r>
      <w:hyperlink r:id="rId13" w:history="1">
        <w:r w:rsidR="00510796" w:rsidRPr="00DE18A6">
          <w:rPr>
            <w:rStyle w:val="Hyperlink"/>
          </w:rPr>
          <w:t>https://osf.io/sgx2p/</w:t>
        </w:r>
      </w:hyperlink>
      <w:r w:rsidR="00510796">
        <w:t>.</w:t>
      </w:r>
    </w:p>
    <w:p w14:paraId="132081A7" w14:textId="09F156BA" w:rsidR="001A6C99" w:rsidRDefault="00510796" w:rsidP="00510796">
      <w:pPr>
        <w:spacing w:line="480" w:lineRule="auto"/>
        <w:ind w:firstLine="720"/>
      </w:pPr>
      <w:r>
        <w:t>For the final run of th</w:t>
      </w:r>
      <w:r w:rsidR="009545A1">
        <w:t>is</w:t>
      </w:r>
      <w:r>
        <w:t xml:space="preserve"> Blimp multiple imputation procedure, a</w:t>
      </w:r>
      <w:r w:rsidRPr="00B81889">
        <w:t xml:space="preserve"> burn-in period of 5000 iterations was </w:t>
      </w:r>
      <w:r w:rsidR="001A6C99">
        <w:t>once</w:t>
      </w:r>
      <w:r w:rsidR="00FA7DDE">
        <w:t xml:space="preserve"> again</w:t>
      </w:r>
      <w:r w:rsidR="001A6C99">
        <w:t xml:space="preserve"> </w:t>
      </w:r>
      <w:r w:rsidRPr="00B81889">
        <w:t>used</w:t>
      </w:r>
      <w:r>
        <w:t xml:space="preserve">, </w:t>
      </w:r>
      <w:r w:rsidR="001A6C99">
        <w:t>and an</w:t>
      </w:r>
      <w:r w:rsidR="001A6C99" w:rsidRPr="00B81889">
        <w:t xml:space="preserve"> additional 10,000 iterations </w:t>
      </w:r>
      <w:r w:rsidR="001A6C99">
        <w:t xml:space="preserve">spread across 100 MCMC chains </w:t>
      </w:r>
      <w:r w:rsidR="001A6C99" w:rsidRPr="00B81889">
        <w:t xml:space="preserve">were </w:t>
      </w:r>
      <w:r w:rsidR="009545A1">
        <w:t>again</w:t>
      </w:r>
      <w:r w:rsidR="001A6C99">
        <w:t xml:space="preserve"> </w:t>
      </w:r>
      <w:r w:rsidR="001A6C99" w:rsidRPr="00B81889">
        <w:t xml:space="preserve">run to </w:t>
      </w:r>
      <w:r w:rsidR="001A6C99">
        <w:t>generate a total of</w:t>
      </w:r>
      <w:r w:rsidR="001A6C99" w:rsidRPr="00B81889">
        <w:t xml:space="preserve"> 100 imputed datasets </w:t>
      </w:r>
      <w:r w:rsidR="001A6C99">
        <w:t xml:space="preserve">that were saved for analysis in R </w:t>
      </w:r>
      <w:r w:rsidR="001A6C99" w:rsidRPr="00DD1643">
        <w:t>Version 4.</w:t>
      </w:r>
      <w:r w:rsidR="001A6C99">
        <w:t>1.1</w:t>
      </w:r>
      <w:r w:rsidR="001A6C99" w:rsidRPr="00DD1643">
        <w:t xml:space="preserve"> (R Core Team, 202</w:t>
      </w:r>
      <w:r w:rsidR="001A6C99">
        <w:t>1</w:t>
      </w:r>
      <w:r w:rsidR="001A6C99" w:rsidRPr="00DD1643">
        <w:t>)</w:t>
      </w:r>
      <w:r w:rsidR="001A6C99">
        <w:t>. The 5000</w:t>
      </w:r>
      <w:r w:rsidR="009545A1">
        <w:t>-</w:t>
      </w:r>
      <w:r w:rsidR="001A6C99">
        <w:t xml:space="preserve">iteration burn in was sufficient for the potential scale reduction factor (PSR) to drop below the 1.05 threshold for all parameters except those involved in the model for the </w:t>
      </w:r>
      <w:r w:rsidR="00D34E97">
        <w:t>gender</w:t>
      </w:r>
      <w:r w:rsidR="001A6C99">
        <w:t xml:space="preserve"> auxiliary variable, which had a maximum PSR of 1.226 at the end of the burn-in period. </w:t>
      </w:r>
    </w:p>
    <w:p w14:paraId="613D3703" w14:textId="1A938A0C" w:rsidR="00AB6740" w:rsidRDefault="00510796" w:rsidP="009545A1">
      <w:pPr>
        <w:spacing w:line="480" w:lineRule="auto"/>
        <w:ind w:firstLine="720"/>
      </w:pPr>
      <w:r>
        <w:t>The R code used to conduct the analysis of th</w:t>
      </w:r>
      <w:r w:rsidR="009545A1">
        <w:t xml:space="preserve">is imputed </w:t>
      </w:r>
      <w:r>
        <w:t xml:space="preserve">data is available at </w:t>
      </w:r>
      <w:hyperlink r:id="rId14" w:history="1">
        <w:r w:rsidRPr="00DE18A6">
          <w:rPr>
            <w:rStyle w:val="Hyperlink"/>
          </w:rPr>
          <w:t>https://osf.io/sgx2p/</w:t>
        </w:r>
      </w:hyperlink>
      <w:r>
        <w:t xml:space="preserve">. </w:t>
      </w:r>
      <w:r w:rsidR="001A6C99">
        <w:t xml:space="preserve">The same procedures used for the </w:t>
      </w:r>
      <w:r w:rsidR="00FA7DDE">
        <w:t xml:space="preserve">original </w:t>
      </w:r>
      <w:r w:rsidR="001A6C99">
        <w:t xml:space="preserve">final analysis of this paper were once again used here, except that the </w:t>
      </w:r>
      <w:r w:rsidR="00D34E97">
        <w:t>age</w:t>
      </w:r>
      <w:r w:rsidR="001A6C99">
        <w:t xml:space="preserve">, </w:t>
      </w:r>
      <w:r w:rsidR="00D34E97">
        <w:t>gender</w:t>
      </w:r>
      <w:r w:rsidR="001A6C99">
        <w:t xml:space="preserve">, and </w:t>
      </w:r>
      <w:r w:rsidR="00D34E97">
        <w:t>immigrant generation</w:t>
      </w:r>
      <w:r w:rsidR="001A6C99">
        <w:t xml:space="preserve"> </w:t>
      </w:r>
      <w:r w:rsidR="00D34E97">
        <w:t>wave 1</w:t>
      </w:r>
      <w:r w:rsidR="001A6C99">
        <w:t xml:space="preserve"> measurements were added as covariates to all analysis models</w:t>
      </w:r>
      <w:r>
        <w:t>.</w:t>
      </w:r>
      <w:r w:rsidR="00B437EE">
        <w:t xml:space="preserve"> See Table 6 for the indirect effect results. Also,</w:t>
      </w:r>
      <w:r>
        <w:t xml:space="preserve"> </w:t>
      </w:r>
      <w:r w:rsidR="00B437EE">
        <w:t>a</w:t>
      </w:r>
      <w:r>
        <w:t xml:space="preserve"> .csv file containing all the output from </w:t>
      </w:r>
      <w:r w:rsidR="009545A1">
        <w:t>this</w:t>
      </w:r>
      <w:r>
        <w:t xml:space="preserve"> analysis is available at </w:t>
      </w:r>
      <w:hyperlink r:id="rId15" w:history="1">
        <w:r w:rsidRPr="00DE18A6">
          <w:rPr>
            <w:rStyle w:val="Hyperlink"/>
          </w:rPr>
          <w:t>https://osf.io/sgx2p/</w:t>
        </w:r>
      </w:hyperlink>
      <w:r>
        <w:t>.</w:t>
      </w:r>
      <w:r>
        <w:tab/>
      </w:r>
    </w:p>
    <w:p w14:paraId="22C61824" w14:textId="453E976C" w:rsidR="00BA0374" w:rsidRPr="007A1D1D" w:rsidRDefault="00BA0374" w:rsidP="00BA0374">
      <w:pPr>
        <w:spacing w:line="480" w:lineRule="auto"/>
        <w:rPr>
          <w:b/>
          <w:bCs/>
          <w:i/>
          <w:iCs/>
        </w:rPr>
      </w:pPr>
      <w:r w:rsidRPr="007A1D1D">
        <w:rPr>
          <w:b/>
          <w:bCs/>
          <w:i/>
          <w:iCs/>
        </w:rPr>
        <w:t>Sensitivity Analys</w:t>
      </w:r>
      <w:r w:rsidR="007A1D1D" w:rsidRPr="007A1D1D">
        <w:rPr>
          <w:b/>
          <w:bCs/>
          <w:i/>
          <w:iCs/>
        </w:rPr>
        <w:t>is</w:t>
      </w:r>
    </w:p>
    <w:p w14:paraId="03DF5CF0" w14:textId="54A94B54" w:rsidR="002D6820" w:rsidRDefault="00BA0374" w:rsidP="00BA0374">
      <w:pPr>
        <w:spacing w:line="480" w:lineRule="auto"/>
      </w:pPr>
      <w:r>
        <w:rPr>
          <w:b/>
          <w:bCs/>
        </w:rPr>
        <w:tab/>
      </w:r>
      <w:r w:rsidR="00FA7DDE">
        <w:t xml:space="preserve">To see how sensitive </w:t>
      </w:r>
      <w:r w:rsidR="00E91733">
        <w:t xml:space="preserve">the results in Table 6 </w:t>
      </w:r>
      <w:r w:rsidR="00CD4C77">
        <w:t>we</w:t>
      </w:r>
      <w:r w:rsidR="00FA7DDE">
        <w:t xml:space="preserve">re to changes in methods and models, the exact same factors altered in the </w:t>
      </w:r>
      <w:r w:rsidR="009E5BB4">
        <w:t>first</w:t>
      </w:r>
      <w:r w:rsidR="00FA7DDE">
        <w:t xml:space="preserve"> sensitivity analysis were again altered here. The only exception: </w:t>
      </w:r>
      <w:r w:rsidR="00D34E97">
        <w:t>age</w:t>
      </w:r>
      <w:r w:rsidR="00206B85">
        <w:t xml:space="preserve">, </w:t>
      </w:r>
      <w:r w:rsidR="00D34E97">
        <w:t>gender</w:t>
      </w:r>
      <w:r w:rsidR="00206B85">
        <w:t xml:space="preserve">, and </w:t>
      </w:r>
      <w:r w:rsidR="00D34E97">
        <w:t>immigrant generation</w:t>
      </w:r>
      <w:r w:rsidR="00206B85">
        <w:t xml:space="preserve"> variables were added to the imputation procedures and the final analyses. </w:t>
      </w:r>
      <w:r w:rsidR="008A0241">
        <w:t xml:space="preserve">During imputation with Amelia, </w:t>
      </w:r>
      <w:r w:rsidR="00D34E97">
        <w:t>gender</w:t>
      </w:r>
      <w:r w:rsidR="008A0241">
        <w:t xml:space="preserve"> and </w:t>
      </w:r>
      <w:r w:rsidR="00D34E97">
        <w:t>immigrant generation</w:t>
      </w:r>
      <w:r w:rsidR="008A0241">
        <w:t xml:space="preserve"> were considered ordinal variables as discussed in </w:t>
      </w:r>
      <w:r w:rsidR="008A0241" w:rsidRPr="00A26BCA">
        <w:t xml:space="preserve">Honaker </w:t>
      </w:r>
      <w:r w:rsidR="008A0241">
        <w:t xml:space="preserve">et al. (2011), and measurements of </w:t>
      </w:r>
      <w:r w:rsidR="00D34E97">
        <w:t>age</w:t>
      </w:r>
      <w:r w:rsidR="008A0241">
        <w:t xml:space="preserve"> and </w:t>
      </w:r>
      <w:r w:rsidR="00D34E97">
        <w:t>immigrant generation</w:t>
      </w:r>
      <w:r w:rsidR="008A0241">
        <w:t xml:space="preserve"> taken prior to </w:t>
      </w:r>
      <w:r w:rsidR="00D34E97">
        <w:t>wave 1</w:t>
      </w:r>
      <w:r w:rsidR="008A0241">
        <w:t xml:space="preserve"> were used as auxiliary </w:t>
      </w:r>
      <w:r w:rsidR="008A0241">
        <w:lastRenderedPageBreak/>
        <w:t xml:space="preserve">variables. The prior measurement of </w:t>
      </w:r>
      <w:r w:rsidR="00D34E97">
        <w:t>gender</w:t>
      </w:r>
      <w:r w:rsidR="008A0241">
        <w:t xml:space="preserve"> was dropped from the imputation procedure because its high correlation with </w:t>
      </w:r>
      <w:r w:rsidR="00D34E97">
        <w:t>wave 1</w:t>
      </w:r>
      <w:r w:rsidR="008A0241">
        <w:t xml:space="preserve"> </w:t>
      </w:r>
      <w:r w:rsidR="00D34E97">
        <w:t>gender</w:t>
      </w:r>
      <w:r w:rsidR="008A0241">
        <w:t xml:space="preserve"> prevented the procedure from completing successfully. During imputation with mice, prior measurements of </w:t>
      </w:r>
      <w:r w:rsidR="00D34E97">
        <w:t>age</w:t>
      </w:r>
      <w:r w:rsidR="008A0241">
        <w:t xml:space="preserve"> and </w:t>
      </w:r>
      <w:r w:rsidR="00D34E97">
        <w:t>immigrant generation</w:t>
      </w:r>
      <w:r w:rsidR="008A0241">
        <w:t xml:space="preserve"> were once again used as auxiliary variables. All variables were imputed with predictive mean matching as described in </w:t>
      </w:r>
      <w:r w:rsidR="0097470A" w:rsidRPr="002702A2">
        <w:rPr>
          <w:bCs/>
        </w:rPr>
        <w:t xml:space="preserve">van </w:t>
      </w:r>
      <w:proofErr w:type="spellStart"/>
      <w:r w:rsidR="0097470A" w:rsidRPr="002702A2">
        <w:rPr>
          <w:bCs/>
        </w:rPr>
        <w:t>Buuren</w:t>
      </w:r>
      <w:proofErr w:type="spellEnd"/>
      <w:r w:rsidR="0097470A">
        <w:t xml:space="preserve"> et al. </w:t>
      </w:r>
      <w:r w:rsidR="0097470A" w:rsidRPr="00206B85">
        <w:t>(2011).</w:t>
      </w:r>
      <w:r w:rsidR="00206B85">
        <w:t xml:space="preserve"> In the analyses, </w:t>
      </w:r>
      <w:r w:rsidR="00D34E97">
        <w:t>wave 1</w:t>
      </w:r>
      <w:r w:rsidR="00206B85">
        <w:t xml:space="preserve"> </w:t>
      </w:r>
      <w:r w:rsidR="00D34E97">
        <w:t>age</w:t>
      </w:r>
      <w:r w:rsidR="00206B85">
        <w:t xml:space="preserve">, </w:t>
      </w:r>
      <w:r w:rsidR="00D34E97">
        <w:t>wave 1</w:t>
      </w:r>
      <w:r w:rsidR="00206B85">
        <w:t xml:space="preserve"> </w:t>
      </w:r>
      <w:r w:rsidR="00E3423E">
        <w:t>g</w:t>
      </w:r>
      <w:r w:rsidR="008C5189">
        <w:t>ender</w:t>
      </w:r>
      <w:r w:rsidR="00206B85">
        <w:t>, and t</w:t>
      </w:r>
      <w:r w:rsidR="00533B5C">
        <w:t>wo</w:t>
      </w:r>
      <w:r w:rsidR="00206B85">
        <w:t xml:space="preserve"> </w:t>
      </w:r>
      <w:r w:rsidR="00E3423E">
        <w:t>i</w:t>
      </w:r>
      <w:r w:rsidR="008C5189">
        <w:t xml:space="preserve">mmigrant </w:t>
      </w:r>
      <w:r w:rsidR="00E3423E">
        <w:t>g</w:t>
      </w:r>
      <w:r w:rsidR="008C5189">
        <w:t>eneration</w:t>
      </w:r>
      <w:r w:rsidR="00206B85">
        <w:t xml:space="preserve"> dummy variables (“Child and Both Parents Foreign Born” served as the reference group) were added to each model t</w:t>
      </w:r>
      <w:r w:rsidR="00B437EE">
        <w:t>hat was fit</w:t>
      </w:r>
      <w:r w:rsidR="00206B85">
        <w:t xml:space="preserve">. </w:t>
      </w:r>
      <w:r w:rsidR="008A0241" w:rsidRPr="00206B85">
        <w:t xml:space="preserve"> </w:t>
      </w:r>
      <w:r w:rsidR="00FA7DDE" w:rsidRPr="00206B85">
        <w:t>Thus, these</w:t>
      </w:r>
      <w:r w:rsidR="00FA7DDE">
        <w:t xml:space="preserve"> </w:t>
      </w:r>
      <w:r w:rsidR="002D6820">
        <w:t>four</w:t>
      </w:r>
      <w:r w:rsidR="00FA7DDE">
        <w:t xml:space="preserve"> variables were added </w:t>
      </w:r>
      <w:r w:rsidR="00206B85">
        <w:t xml:space="preserve">to </w:t>
      </w:r>
      <w:r w:rsidR="00FA7DDE">
        <w:t>Equations 1 through 8, resulting in an additional f</w:t>
      </w:r>
      <w:r w:rsidR="002D6820">
        <w:t>our</w:t>
      </w:r>
      <w:r w:rsidR="00FA7DDE">
        <w:t xml:space="preserve"> regression coefficients estimated for each equation. </w:t>
      </w:r>
      <w:r w:rsidR="002D6820">
        <w:t xml:space="preserve">For example, Equations 1 through </w:t>
      </w:r>
      <w:r w:rsidR="00E3423E">
        <w:t>4</w:t>
      </w:r>
      <w:r w:rsidR="002D6820">
        <w:t xml:space="preserve"> were modified to become: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5"/>
        <w:gridCol w:w="8050"/>
        <w:gridCol w:w="655"/>
      </w:tblGrid>
      <w:tr w:rsidR="002D6820" w14:paraId="6DE2306F" w14:textId="77777777" w:rsidTr="009D3E82">
        <w:tc>
          <w:tcPr>
            <w:tcW w:w="350" w:type="pct"/>
          </w:tcPr>
          <w:p w14:paraId="2732E5AC" w14:textId="77777777" w:rsidR="002D6820" w:rsidRDefault="002D6820" w:rsidP="009D3E82">
            <w:pPr>
              <w:spacing w:line="480" w:lineRule="auto"/>
            </w:pPr>
          </w:p>
        </w:tc>
        <w:tc>
          <w:tcPr>
            <w:tcW w:w="4300" w:type="pct"/>
          </w:tcPr>
          <w:p w14:paraId="66A1BC7E" w14:textId="612D6C39" w:rsidR="002D6820" w:rsidRPr="002D6820" w:rsidRDefault="00000000" w:rsidP="009D3E82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1i</m:t>
                  </m:r>
                </m:sub>
              </m:sSub>
            </m:oMath>
            <w:r w:rsidR="002D6820" w:rsidRPr="00612577">
              <w:t xml:space="preserve"> = </w:t>
            </w:r>
            <w:r w:rsidR="002D6820" w:rsidRPr="00612577">
              <w:rPr>
                <w:i/>
                <w:iCs/>
              </w:rPr>
              <w:t>i</w:t>
            </w:r>
            <w:r w:rsidR="002D6820" w:rsidRPr="00612577">
              <w:rPr>
                <w:i/>
                <w:iCs/>
                <w:vertAlign w:val="subscript"/>
              </w:rPr>
              <w:t>M1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a</w:t>
            </w:r>
            <w:r w:rsidR="002D6820" w:rsidRPr="00612577">
              <w:rPr>
                <w:i/>
                <w:iCs/>
                <w:vertAlign w:val="subscript"/>
              </w:rPr>
              <w:t>1</w:t>
            </w:r>
            <w:r w:rsidR="002D6820" w:rsidRPr="00612577">
              <w:rPr>
                <w:i/>
                <w:iCs/>
              </w:rPr>
              <w:t>X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1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1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2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2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3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3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i/>
                <w:iCs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4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4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5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5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6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6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i/>
                <w:iCs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7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7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8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8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65C912C6" w14:textId="4474FD9A" w:rsidR="002D6820" w:rsidRDefault="002D6820" w:rsidP="009D3E82">
            <w:pPr>
              <w:spacing w:line="480" w:lineRule="auto"/>
            </w:pPr>
            <w:r>
              <w:t>(</w:t>
            </w:r>
            <w:r w:rsidR="00E3423E">
              <w:t>9</w:t>
            </w:r>
            <w:r>
              <w:t>)</w:t>
            </w:r>
          </w:p>
        </w:tc>
      </w:tr>
      <w:tr w:rsidR="002D6820" w14:paraId="43D71258" w14:textId="77777777" w:rsidTr="009D3E82">
        <w:tc>
          <w:tcPr>
            <w:tcW w:w="350" w:type="pct"/>
          </w:tcPr>
          <w:p w14:paraId="196911DB" w14:textId="77777777" w:rsidR="002D6820" w:rsidRDefault="002D6820" w:rsidP="009D3E82">
            <w:pPr>
              <w:spacing w:line="480" w:lineRule="auto"/>
            </w:pPr>
          </w:p>
        </w:tc>
        <w:tc>
          <w:tcPr>
            <w:tcW w:w="4300" w:type="pct"/>
          </w:tcPr>
          <w:p w14:paraId="6EDEB807" w14:textId="51D537F5" w:rsidR="002D6820" w:rsidRDefault="00000000" w:rsidP="009D3E82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 w:cs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 w:cs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 w:cs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 w:cs="Cambria Math"/>
                    </w:rPr>
                    <m:t>2i</m:t>
                  </m:r>
                </m:sub>
              </m:sSub>
            </m:oMath>
            <w:r w:rsidR="002D6820" w:rsidRPr="00612577">
              <w:rPr>
                <w:rFonts w:ascii="Cambria Math" w:hAnsi="Cambria Math" w:cs="Cambria Math"/>
              </w:rPr>
              <w:t xml:space="preserve"> = 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i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M2</w:t>
            </w:r>
            <w:r w:rsidR="002D6820" w:rsidRPr="00612577">
              <w:rPr>
                <w:rFonts w:ascii="Cambria Math" w:hAnsi="Cambria Math" w:cs="Cambria Math"/>
              </w:rPr>
              <w:t xml:space="preserve"> + 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a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X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rFonts w:ascii="Cambria Math" w:hAnsi="Cambria Math" w:cs="Cambria Math"/>
              </w:rPr>
              <w:t xml:space="preserve"> + 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1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1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 xml:space="preserve">𝑖 </w:t>
            </w:r>
            <w:r w:rsidR="002D6820" w:rsidRPr="00612577">
              <w:rPr>
                <w:rFonts w:ascii="Cambria Math" w:hAnsi="Cambria Math" w:cs="Cambria Math"/>
              </w:rPr>
              <w:t xml:space="preserve">+ 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2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rFonts w:ascii="Cambria Math" w:hAnsi="Cambria Math" w:cs="Cambria Math"/>
              </w:rPr>
              <w:t xml:space="preserve"> + 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3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3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 xml:space="preserve"> </w:t>
            </w:r>
            <w:r w:rsidR="002D6820" w:rsidRPr="00612577">
              <w:rPr>
                <w:rFonts w:ascii="Cambria Math" w:hAnsi="Cambria Math" w:cs="Cambria Math"/>
              </w:rPr>
              <w:t xml:space="preserve">+ 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4</w:t>
            </w:r>
            <w:r w:rsidR="002D6820" w:rsidRPr="00612577">
              <w:rPr>
                <w:rFonts w:ascii="Cambria Math" w:hAnsi="Cambria Math" w:cs="Cambria Math"/>
                <w:i/>
                <w:iCs/>
              </w:rPr>
              <w:t>U</w:t>
            </w:r>
            <w:r w:rsidR="002D6820" w:rsidRPr="00612577">
              <w:rPr>
                <w:rFonts w:ascii="Cambria Math" w:hAnsi="Cambria Math" w:cs="Cambria Math"/>
                <w:i/>
                <w:iCs/>
                <w:vertAlign w:val="subscript"/>
              </w:rPr>
              <w:t>4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5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5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6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6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i/>
                <w:iCs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7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7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8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8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7146CA98" w14:textId="1B57BD48" w:rsidR="002D6820" w:rsidRDefault="002D6820" w:rsidP="009D3E82">
            <w:pPr>
              <w:spacing w:line="480" w:lineRule="auto"/>
            </w:pPr>
            <w:r>
              <w:t>(</w:t>
            </w:r>
            <w:r w:rsidR="00E3423E">
              <w:t>10</w:t>
            </w:r>
            <w:r>
              <w:t>)</w:t>
            </w:r>
          </w:p>
        </w:tc>
      </w:tr>
      <w:tr w:rsidR="002D6820" w14:paraId="21F0C66D" w14:textId="77777777" w:rsidTr="009D3E82">
        <w:tc>
          <w:tcPr>
            <w:tcW w:w="350" w:type="pct"/>
          </w:tcPr>
          <w:p w14:paraId="2CE78DD1" w14:textId="77777777" w:rsidR="002D6820" w:rsidRDefault="002D6820" w:rsidP="009D3E82">
            <w:pPr>
              <w:spacing w:line="480" w:lineRule="auto"/>
            </w:pPr>
          </w:p>
        </w:tc>
        <w:tc>
          <w:tcPr>
            <w:tcW w:w="4300" w:type="pct"/>
          </w:tcPr>
          <w:p w14:paraId="4A384838" w14:textId="0AEDAB01" w:rsidR="002D6820" w:rsidRDefault="00000000" w:rsidP="009D3E82">
            <w:pPr>
              <w:spacing w:line="480" w:lineRule="auto"/>
              <w:jc w:val="center"/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acc>
                    <m:accPr>
                      <m:ctrlPr>
                        <w:rPr>
                          <w:rFonts w:ascii="Cambria Math" w:hAnsi="Cambria Math"/>
                          <w:i/>
                        </w:rPr>
                      </m:ctrlPr>
                    </m:accPr>
                    <m:e>
                      <m:r>
                        <w:rPr>
                          <w:rFonts w:ascii="Cambria Math" w:hAnsi="Cambria Math"/>
                        </w:rPr>
                        <m:t>M</m:t>
                      </m:r>
                    </m:e>
                  </m:acc>
                </m:e>
                <m:sub>
                  <m:r>
                    <w:rPr>
                      <w:rFonts w:ascii="Cambria Math" w:hAnsi="Cambria Math"/>
                    </w:rPr>
                    <m:t>3i</m:t>
                  </m:r>
                </m:sub>
              </m:sSub>
            </m:oMath>
            <w:r w:rsidR="002D6820" w:rsidRPr="00612577">
              <w:t xml:space="preserve"> = </w:t>
            </w:r>
            <w:r w:rsidR="002D6820" w:rsidRPr="00612577">
              <w:rPr>
                <w:i/>
                <w:iCs/>
              </w:rPr>
              <w:t>i</w:t>
            </w:r>
            <w:r w:rsidR="002D6820" w:rsidRPr="00612577">
              <w:rPr>
                <w:i/>
                <w:iCs/>
                <w:vertAlign w:val="subscript"/>
              </w:rPr>
              <w:t>M3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a</w:t>
            </w:r>
            <w:r w:rsidR="002D6820" w:rsidRPr="00612577">
              <w:rPr>
                <w:i/>
                <w:iCs/>
                <w:vertAlign w:val="subscript"/>
              </w:rPr>
              <w:t>3</w:t>
            </w:r>
            <w:r w:rsidR="002D6820" w:rsidRPr="00612577">
              <w:rPr>
                <w:i/>
                <w:iCs/>
              </w:rPr>
              <w:t>X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1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1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2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2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3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3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i/>
                <w:iCs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4</w:t>
            </w:r>
            <w:r w:rsidR="002D6820" w:rsidRPr="00612577">
              <w:rPr>
                <w:i/>
                <w:iCs/>
              </w:rPr>
              <w:t>U</w:t>
            </w:r>
            <w:r w:rsidR="002D6820" w:rsidRPr="00612577">
              <w:rPr>
                <w:i/>
                <w:iCs/>
                <w:vertAlign w:val="subscript"/>
              </w:rPr>
              <w:t>4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5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5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t xml:space="preserve"> 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6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6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 w:rsidRPr="00612577">
              <w:rPr>
                <w:i/>
                <w:iCs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7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7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="002D6820"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="002D6820" w:rsidRPr="00612577">
              <w:t xml:space="preserve">+ 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8</w:t>
            </w:r>
            <w:r w:rsidR="002D6820" w:rsidRPr="00612577">
              <w:rPr>
                <w:i/>
                <w:iCs/>
              </w:rPr>
              <w:t>U</w:t>
            </w:r>
            <w:r w:rsidR="002D6820">
              <w:rPr>
                <w:i/>
                <w:iCs/>
                <w:vertAlign w:val="subscript"/>
              </w:rPr>
              <w:t>8</w:t>
            </w:r>
            <w:r w:rsidR="002D6820"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6C375625" w14:textId="3B81B501" w:rsidR="002D6820" w:rsidRDefault="002D6820" w:rsidP="009D3E82">
            <w:pPr>
              <w:spacing w:line="480" w:lineRule="auto"/>
            </w:pPr>
            <w:r>
              <w:t>(</w:t>
            </w:r>
            <w:r w:rsidR="00E3423E">
              <w:t>11</w:t>
            </w:r>
            <w:r>
              <w:t>)</w:t>
            </w:r>
          </w:p>
        </w:tc>
      </w:tr>
      <w:tr w:rsidR="002D6820" w14:paraId="1926248A" w14:textId="77777777" w:rsidTr="009D3E82">
        <w:tc>
          <w:tcPr>
            <w:tcW w:w="350" w:type="pct"/>
          </w:tcPr>
          <w:p w14:paraId="2CF8F62D" w14:textId="77777777" w:rsidR="002D6820" w:rsidRDefault="002D6820" w:rsidP="009D3E82">
            <w:pPr>
              <w:spacing w:line="480" w:lineRule="auto"/>
            </w:pPr>
          </w:p>
        </w:tc>
        <w:tc>
          <w:tcPr>
            <w:tcW w:w="4300" w:type="pct"/>
          </w:tcPr>
          <w:p w14:paraId="6608E720" w14:textId="7B187D0C" w:rsidR="002D6820" w:rsidRDefault="002D6820" w:rsidP="009D3E82">
            <w:pPr>
              <w:spacing w:line="480" w:lineRule="auto"/>
              <w:jc w:val="center"/>
            </w:pPr>
            <w:r w:rsidRPr="00612577">
              <w:rPr>
                <w:i/>
                <w:iCs/>
              </w:rPr>
              <w:t>Ŷ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= </w:t>
            </w:r>
            <w:proofErr w:type="spellStart"/>
            <w:r w:rsidRPr="00612577">
              <w:rPr>
                <w:i/>
                <w:iCs/>
              </w:rPr>
              <w:t>i</w:t>
            </w:r>
            <w:r w:rsidRPr="00612577">
              <w:rPr>
                <w:i/>
                <w:iCs/>
                <w:vertAlign w:val="subscript"/>
              </w:rPr>
              <w:t>Y</w:t>
            </w:r>
            <w:proofErr w:type="spellEnd"/>
            <w:r w:rsidRPr="00612577">
              <w:t xml:space="preserve"> + </w:t>
            </w:r>
            <w:proofErr w:type="spellStart"/>
            <w:r w:rsidRPr="00612577">
              <w:rPr>
                <w:i/>
                <w:iCs/>
              </w:rPr>
              <w:t>c’X</w:t>
            </w:r>
            <w:proofErr w:type="spellEnd"/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1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1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2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2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b</w:t>
            </w:r>
            <w:r w:rsidRPr="00612577">
              <w:rPr>
                <w:i/>
                <w:iCs/>
                <w:vertAlign w:val="subscript"/>
              </w:rPr>
              <w:t>3</w:t>
            </w:r>
            <w:r w:rsidRPr="00612577">
              <w:rPr>
                <w:i/>
                <w:iCs/>
              </w:rPr>
              <w:t>M</w:t>
            </w:r>
            <w:r w:rsidRPr="00612577">
              <w:rPr>
                <w:vertAlign w:val="subscript"/>
              </w:rPr>
              <w:t>3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1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1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rPr>
                <w:vertAlign w:val="subscript"/>
              </w:rPr>
              <w:t xml:space="preserve"> </w:t>
            </w:r>
            <w:r w:rsidRPr="00612577">
              <w:t xml:space="preserve">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2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2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3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3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rPr>
                <w:i/>
                <w:iCs/>
              </w:rPr>
              <w:t xml:space="preserve"> </w:t>
            </w:r>
            <w:r w:rsidRPr="00612577">
              <w:t xml:space="preserve">+ 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4</w:t>
            </w:r>
            <w:r w:rsidRPr="00612577">
              <w:rPr>
                <w:i/>
                <w:iCs/>
              </w:rPr>
              <w:t>U</w:t>
            </w:r>
            <w:r w:rsidRPr="00612577">
              <w:rPr>
                <w:i/>
                <w:iCs/>
                <w:vertAlign w:val="subscript"/>
              </w:rPr>
              <w:t>4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Pr="00612577">
              <w:t xml:space="preserve">+ 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5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5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t xml:space="preserve"> + 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6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6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 w:rsidRPr="00612577">
              <w:rPr>
                <w:i/>
                <w:iCs/>
              </w:rPr>
              <w:t xml:space="preserve"> </w:t>
            </w:r>
            <w:r w:rsidRPr="00612577">
              <w:t xml:space="preserve">+ 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7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7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  <w:r>
              <w:rPr>
                <w:rFonts w:ascii="Cambria Math" w:hAnsi="Cambria Math" w:cs="Cambria Math"/>
                <w:vertAlign w:val="subscript"/>
              </w:rPr>
              <w:t xml:space="preserve"> </w:t>
            </w:r>
            <w:r w:rsidRPr="00612577">
              <w:t xml:space="preserve">+ 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8</w:t>
            </w:r>
            <w:r w:rsidRPr="00612577"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8</w:t>
            </w:r>
            <w:r w:rsidRPr="00612577">
              <w:rPr>
                <w:rFonts w:ascii="Cambria Math" w:hAnsi="Cambria Math" w:cs="Cambria Math"/>
                <w:vertAlign w:val="subscript"/>
              </w:rPr>
              <w:t>𝑖</w:t>
            </w:r>
          </w:p>
        </w:tc>
        <w:tc>
          <w:tcPr>
            <w:tcW w:w="350" w:type="pct"/>
          </w:tcPr>
          <w:p w14:paraId="7E979B1A" w14:textId="3E064A6A" w:rsidR="002D6820" w:rsidRDefault="002D6820" w:rsidP="009D3E82">
            <w:pPr>
              <w:spacing w:line="480" w:lineRule="auto"/>
            </w:pPr>
            <w:r>
              <w:t>(</w:t>
            </w:r>
            <w:r w:rsidR="00E3423E">
              <w:t>12</w:t>
            </w:r>
            <w:r>
              <w:t>)</w:t>
            </w:r>
          </w:p>
        </w:tc>
      </w:tr>
    </w:tbl>
    <w:p w14:paraId="48923474" w14:textId="18AE4527" w:rsidR="00BA0374" w:rsidRDefault="00E3423E" w:rsidP="00BA0374">
      <w:pPr>
        <w:spacing w:line="480" w:lineRule="auto"/>
      </w:pPr>
      <w:r>
        <w:t xml:space="preserve">Note that the only difference between Equations 1 through 4 and Equations 9 through 12 is the addition of </w:t>
      </w:r>
      <w:r w:rsidRPr="00612577">
        <w:rPr>
          <w:i/>
          <w:iCs/>
        </w:rPr>
        <w:t>U</w:t>
      </w:r>
      <w:r>
        <w:rPr>
          <w:i/>
          <w:iCs/>
          <w:vertAlign w:val="subscript"/>
        </w:rPr>
        <w:t>5</w:t>
      </w:r>
      <w:r w:rsidRPr="00E3423E">
        <w:t xml:space="preserve"> (</w:t>
      </w:r>
      <w:r w:rsidR="00D34E97">
        <w:t>wave 1</w:t>
      </w:r>
      <w:r>
        <w:t xml:space="preserve"> age), </w:t>
      </w:r>
      <w:r w:rsidRPr="00612577">
        <w:rPr>
          <w:i/>
          <w:iCs/>
        </w:rPr>
        <w:t>U</w:t>
      </w:r>
      <w:r>
        <w:rPr>
          <w:i/>
          <w:iCs/>
          <w:vertAlign w:val="subscript"/>
        </w:rPr>
        <w:t>6</w:t>
      </w:r>
      <w:r w:rsidRPr="00E3423E">
        <w:t xml:space="preserve"> (</w:t>
      </w:r>
      <w:r w:rsidR="00D34E97">
        <w:t>wave 1</w:t>
      </w:r>
      <w:r>
        <w:t xml:space="preserve"> gender), and </w:t>
      </w:r>
      <w:r w:rsidRPr="00612577">
        <w:rPr>
          <w:i/>
          <w:iCs/>
        </w:rPr>
        <w:t>U</w:t>
      </w:r>
      <w:r>
        <w:rPr>
          <w:i/>
          <w:iCs/>
          <w:vertAlign w:val="subscript"/>
        </w:rPr>
        <w:t>7</w:t>
      </w:r>
      <w:r>
        <w:t xml:space="preserve"> and </w:t>
      </w:r>
      <w:r w:rsidRPr="00612577">
        <w:rPr>
          <w:i/>
          <w:iCs/>
        </w:rPr>
        <w:t>U</w:t>
      </w:r>
      <w:r>
        <w:rPr>
          <w:i/>
          <w:iCs/>
          <w:vertAlign w:val="subscript"/>
        </w:rPr>
        <w:t>8</w:t>
      </w:r>
      <w:r w:rsidRPr="00E3423E">
        <w:t xml:space="preserve"> (</w:t>
      </w:r>
      <w:r w:rsidR="009546B2">
        <w:t xml:space="preserve">the </w:t>
      </w:r>
      <w:proofErr w:type="gramStart"/>
      <w:r>
        <w:t>two immigrant</w:t>
      </w:r>
      <w:proofErr w:type="gramEnd"/>
      <w:r>
        <w:t xml:space="preserve"> generation dummy variables). </w:t>
      </w:r>
      <w:r w:rsidR="00BA0374">
        <w:t>The R code used to run th</w:t>
      </w:r>
      <w:r w:rsidR="00BF3C4A">
        <w:t>is</w:t>
      </w:r>
      <w:r w:rsidR="00FA7DDE">
        <w:t xml:space="preserve"> </w:t>
      </w:r>
      <w:r w:rsidR="00131E18">
        <w:t>second</w:t>
      </w:r>
      <w:r w:rsidR="00BA0374">
        <w:t xml:space="preserve"> sensitivity analys</w:t>
      </w:r>
      <w:r w:rsidR="00BF3C4A">
        <w:t>i</w:t>
      </w:r>
      <w:r w:rsidR="00BA0374">
        <w:t xml:space="preserve">s is available at </w:t>
      </w:r>
      <w:hyperlink r:id="rId16" w:history="1">
        <w:r w:rsidR="00BA0374" w:rsidRPr="00DE18A6">
          <w:rPr>
            <w:rStyle w:val="Hyperlink"/>
          </w:rPr>
          <w:t>https://osf.io/sgx2p/</w:t>
        </w:r>
      </w:hyperlink>
      <w:r w:rsidR="00BA0374">
        <w:t>, as well as a .csv file containing the result</w:t>
      </w:r>
      <w:r w:rsidR="00B362A2">
        <w:t>s</w:t>
      </w:r>
      <w:r w:rsidR="00BA0374">
        <w:t xml:space="preserve">. </w:t>
      </w:r>
    </w:p>
    <w:p w14:paraId="2BF3198A" w14:textId="51ABBD93" w:rsidR="00BA0374" w:rsidRDefault="00B362A2" w:rsidP="00BA0374">
      <w:pPr>
        <w:spacing w:line="480" w:lineRule="auto"/>
        <w:ind w:firstLine="720"/>
      </w:pPr>
      <w:r>
        <w:t>Again</w:t>
      </w:r>
      <w:r w:rsidR="0042371A">
        <w:t>,</w:t>
      </w:r>
      <w:r>
        <w:t xml:space="preserve"> f</w:t>
      </w:r>
      <w:r w:rsidR="00BA0374">
        <w:t xml:space="preserve">or comparison, Table </w:t>
      </w:r>
      <w:r w:rsidR="000051FC">
        <w:t>6</w:t>
      </w:r>
      <w:r w:rsidR="00BA0374">
        <w:t xml:space="preserve"> contains the specific/total indirect effect estimates and their corresponding percentile bootstrap confidence intervals found in our analysis using Blimp</w:t>
      </w:r>
      <w:r w:rsidR="0042371A">
        <w:t xml:space="preserve"> with </w:t>
      </w:r>
      <w:r w:rsidR="00D34E97">
        <w:t>wave 1</w:t>
      </w:r>
      <w:r w:rsidR="0042371A">
        <w:t xml:space="preserve"> </w:t>
      </w:r>
      <w:r w:rsidR="00D34E97">
        <w:t>age</w:t>
      </w:r>
      <w:r w:rsidR="0042371A">
        <w:t xml:space="preserve">, </w:t>
      </w:r>
      <w:r w:rsidR="00D34E97">
        <w:t>wave 1</w:t>
      </w:r>
      <w:r w:rsidR="0042371A">
        <w:t xml:space="preserve"> </w:t>
      </w:r>
      <w:r w:rsidR="00D34E97">
        <w:t>gender</w:t>
      </w:r>
      <w:r w:rsidR="0042371A">
        <w:t xml:space="preserve">, and the </w:t>
      </w:r>
      <w:proofErr w:type="gramStart"/>
      <w:r w:rsidR="0042371A">
        <w:t>t</w:t>
      </w:r>
      <w:r w:rsidR="00533B5C">
        <w:t>wo</w:t>
      </w:r>
      <w:r w:rsidR="0042371A">
        <w:t xml:space="preserve"> </w:t>
      </w:r>
      <w:r w:rsidR="00D34E97">
        <w:t>immigrant</w:t>
      </w:r>
      <w:proofErr w:type="gramEnd"/>
      <w:r w:rsidR="00D34E97">
        <w:t xml:space="preserve"> generation</w:t>
      </w:r>
      <w:r w:rsidR="0042371A">
        <w:t xml:space="preserve"> dummy variables added to all equations</w:t>
      </w:r>
      <w:r w:rsidR="00BA0374">
        <w:t>.</w:t>
      </w:r>
    </w:p>
    <w:p w14:paraId="28277CFB" w14:textId="50BEAB58" w:rsidR="00BA0374" w:rsidRPr="0063347C" w:rsidRDefault="00BA0374" w:rsidP="00BA0374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 w:rsidR="000051FC">
        <w:rPr>
          <w:b/>
          <w:bCs/>
        </w:rPr>
        <w:t>6</w:t>
      </w:r>
    </w:p>
    <w:p w14:paraId="0DF2655B" w14:textId="449486B8" w:rsidR="00BA0374" w:rsidRDefault="00BA0374" w:rsidP="00BA0374">
      <w:pPr>
        <w:shd w:val="clear" w:color="auto" w:fill="FFFFFF"/>
        <w:spacing w:line="480" w:lineRule="auto"/>
      </w:pPr>
      <w:r>
        <w:rPr>
          <w:i/>
          <w:iCs/>
        </w:rPr>
        <w:lastRenderedPageBreak/>
        <w:t>Results for Analysis with Blimp, Imputation-then-Bootstrap, All Wave 1 Variables in All Equations</w:t>
      </w:r>
      <w:r w:rsidR="0042371A">
        <w:rPr>
          <w:i/>
          <w:iCs/>
        </w:rPr>
        <w:t xml:space="preserve"> (including Age and </w:t>
      </w:r>
      <w:r w:rsidR="008C5189">
        <w:rPr>
          <w:i/>
          <w:iCs/>
        </w:rPr>
        <w:t>Gender</w:t>
      </w:r>
      <w:r w:rsidR="0042371A">
        <w:rPr>
          <w:i/>
          <w:iCs/>
        </w:rPr>
        <w:t>), and T</w:t>
      </w:r>
      <w:r w:rsidR="00533B5C">
        <w:rPr>
          <w:i/>
          <w:iCs/>
        </w:rPr>
        <w:t>wo</w:t>
      </w:r>
      <w:r w:rsidR="0042371A">
        <w:rPr>
          <w:i/>
          <w:iCs/>
        </w:rPr>
        <w:t xml:space="preserve"> Immigra</w:t>
      </w:r>
      <w:r w:rsidR="008C5189">
        <w:rPr>
          <w:i/>
          <w:iCs/>
        </w:rPr>
        <w:t>nt Generation</w:t>
      </w:r>
      <w:r w:rsidR="0042371A">
        <w:rPr>
          <w:i/>
          <w:iCs/>
        </w:rPr>
        <w:t xml:space="preserve"> Dummy Variables in All Equations</w:t>
      </w:r>
    </w:p>
    <w:tbl>
      <w:tblPr>
        <w:tblW w:w="9296" w:type="dxa"/>
        <w:tblLook w:val="04A0" w:firstRow="1" w:lastRow="0" w:firstColumn="1" w:lastColumn="0" w:noHBand="0" w:noVBand="1"/>
      </w:tblPr>
      <w:tblGrid>
        <w:gridCol w:w="4100"/>
        <w:gridCol w:w="1056"/>
        <w:gridCol w:w="980"/>
        <w:gridCol w:w="1040"/>
        <w:gridCol w:w="1140"/>
        <w:gridCol w:w="980"/>
      </w:tblGrid>
      <w:tr w:rsidR="00BA0374" w14:paraId="3204496D" w14:textId="77777777" w:rsidTr="0052198B">
        <w:trPr>
          <w:trHeight w:val="264"/>
        </w:trPr>
        <w:tc>
          <w:tcPr>
            <w:tcW w:w="41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270211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870DE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2C6A6C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FB8A79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C2A9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FB76AC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4A8F4381" w14:textId="77777777" w:rsidTr="0052198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1A320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FC3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85C1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-0.001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0E2F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57E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BE14F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1C27CDDE" w14:textId="77777777" w:rsidTr="0052198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815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6391" w14:textId="4C0A1603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</w:t>
            </w:r>
            <w:r w:rsidR="009E1D5B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06D8B" w14:textId="7687F460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</w:t>
            </w:r>
            <w:r w:rsidR="009E1D5B">
              <w:rPr>
                <w:color w:val="000000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74C5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174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413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6E167A85" w14:textId="77777777" w:rsidTr="0052198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183A2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3AA5B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29FE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-0.001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D35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555F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FBD86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DE5ADF2" w14:textId="77777777" w:rsidTr="0052198B">
        <w:trPr>
          <w:trHeight w:val="312"/>
        </w:trPr>
        <w:tc>
          <w:tcPr>
            <w:tcW w:w="4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672D09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7AD3A" w14:textId="089E583C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</w:t>
            </w:r>
            <w:r w:rsidR="009E1D5B">
              <w:rPr>
                <w:color w:val="000000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FD66C2" w14:textId="3DABB0B1" w:rsidR="00BA0374" w:rsidRPr="002B4E4C" w:rsidRDefault="009E1D5B" w:rsidP="005219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-</w:t>
            </w:r>
            <w:r w:rsidR="00BA0374" w:rsidRPr="002B4E4C">
              <w:rPr>
                <w:color w:val="000000"/>
              </w:rPr>
              <w:t>0.000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25BEE6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D5BBAA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8D1EDB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F4EF673" w14:textId="2A7A08BD" w:rsidR="00BA0374" w:rsidRDefault="00BA0374" w:rsidP="00BA0374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>
        <w:rPr>
          <w:color w:val="000000"/>
        </w:rPr>
        <w:t xml:space="preserve"> 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13519C4E" w14:textId="77777777" w:rsidR="00BA0374" w:rsidRDefault="00BA0374" w:rsidP="00BA0374">
      <w:pPr>
        <w:spacing w:line="480" w:lineRule="auto"/>
        <w:rPr>
          <w:color w:val="000000"/>
        </w:rPr>
      </w:pPr>
    </w:p>
    <w:p w14:paraId="3CE61FFF" w14:textId="2454ACEC" w:rsidR="00BA0374" w:rsidRDefault="00BA0374" w:rsidP="00BA0374">
      <w:pPr>
        <w:spacing w:line="480" w:lineRule="auto"/>
        <w:rPr>
          <w:color w:val="000000"/>
        </w:rPr>
      </w:pPr>
      <w:r>
        <w:rPr>
          <w:color w:val="000000"/>
        </w:rPr>
        <w:t xml:space="preserve">By examining which percentile bootstrap confidence intervals exclude zero, </w:t>
      </w:r>
      <w:r w:rsidR="001E3198">
        <w:rPr>
          <w:color w:val="000000"/>
        </w:rPr>
        <w:t xml:space="preserve">we determine that the specific indirect effect through wave 2 </w:t>
      </w:r>
      <w:r w:rsidR="00161ABD">
        <w:rPr>
          <w:color w:val="000000"/>
        </w:rPr>
        <w:t>ethnic</w:t>
      </w:r>
      <w:r w:rsidR="001E3198">
        <w:rPr>
          <w:color w:val="000000"/>
        </w:rPr>
        <w:t xml:space="preserve"> private regard is significantly different from zero (the lower limit of its confidence interval is </w:t>
      </w:r>
      <w:r w:rsidR="001E3198" w:rsidRPr="001E3198">
        <w:rPr>
          <w:color w:val="000000"/>
        </w:rPr>
        <w:t>0.00007</w:t>
      </w:r>
      <w:r w:rsidR="001E3198">
        <w:rPr>
          <w:color w:val="000000"/>
        </w:rPr>
        <w:t>)</w:t>
      </w:r>
      <w:r w:rsidR="007646B5">
        <w:rPr>
          <w:color w:val="000000"/>
        </w:rPr>
        <w:t>.</w:t>
      </w:r>
    </w:p>
    <w:p w14:paraId="6366544C" w14:textId="5EFE8E90" w:rsidR="00BA0374" w:rsidRDefault="00BA0374" w:rsidP="00BA0374">
      <w:pPr>
        <w:spacing w:line="480" w:lineRule="auto"/>
        <w:ind w:firstLine="720"/>
        <w:rPr>
          <w:color w:val="000000"/>
        </w:rPr>
      </w:pPr>
      <w:r>
        <w:rPr>
          <w:color w:val="000000"/>
        </w:rPr>
        <w:t xml:space="preserve">Tables </w:t>
      </w:r>
      <w:r w:rsidR="00B437EE">
        <w:rPr>
          <w:color w:val="000000"/>
        </w:rPr>
        <w:t>7</w:t>
      </w:r>
      <w:r>
        <w:rPr>
          <w:color w:val="000000"/>
        </w:rPr>
        <w:t xml:space="preserve">, </w:t>
      </w:r>
      <w:r w:rsidR="00B437EE">
        <w:rPr>
          <w:color w:val="000000"/>
        </w:rPr>
        <w:t>8</w:t>
      </w:r>
      <w:r>
        <w:rPr>
          <w:color w:val="000000"/>
        </w:rPr>
        <w:t xml:space="preserve">, </w:t>
      </w:r>
      <w:r w:rsidR="00B437EE">
        <w:rPr>
          <w:color w:val="000000"/>
        </w:rPr>
        <w:t>9</w:t>
      </w:r>
      <w:r>
        <w:rPr>
          <w:color w:val="000000"/>
        </w:rPr>
        <w:t xml:space="preserve">, and </w:t>
      </w:r>
      <w:r w:rsidR="00B437EE">
        <w:rPr>
          <w:color w:val="000000"/>
        </w:rPr>
        <w:t>10</w:t>
      </w:r>
      <w:r>
        <w:rPr>
          <w:color w:val="000000"/>
        </w:rPr>
        <w:t xml:space="preserve"> below contain the results for the alternative analyses we ran. Each table corresponds to a different combination of imputation program and impute/bootstrap procedure, and they all display the estimates/percentile bootstrap confidence intervals for the three different covariate patterns we considered for the analysis model</w:t>
      </w:r>
      <w:r w:rsidR="00131E18">
        <w:rPr>
          <w:color w:val="000000"/>
        </w:rPr>
        <w:t xml:space="preserve"> (see the Sensitivity Analysis 1 section for more details)</w:t>
      </w:r>
      <w:r>
        <w:rPr>
          <w:color w:val="000000"/>
        </w:rPr>
        <w:t xml:space="preserve">. </w:t>
      </w:r>
      <w:r>
        <w:rPr>
          <w:color w:val="000000"/>
        </w:rPr>
        <w:tab/>
      </w:r>
    </w:p>
    <w:p w14:paraId="67BCDF91" w14:textId="568CAD02" w:rsidR="00BA0374" w:rsidRPr="0063347C" w:rsidRDefault="00BA0374" w:rsidP="00BA0374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 w:rsidR="000051FC">
        <w:rPr>
          <w:b/>
          <w:bCs/>
        </w:rPr>
        <w:t>7</w:t>
      </w:r>
    </w:p>
    <w:p w14:paraId="53D9B676" w14:textId="77777777" w:rsidR="00BA0374" w:rsidRDefault="00BA0374" w:rsidP="00BA0374">
      <w:pPr>
        <w:shd w:val="clear" w:color="auto" w:fill="FFFFFF"/>
        <w:spacing w:line="480" w:lineRule="auto"/>
      </w:pPr>
      <w:r>
        <w:rPr>
          <w:i/>
          <w:iCs/>
        </w:rPr>
        <w:t>Results for Analyses with Amelia and Bootstrap-then-Imputation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BA0374" w14:paraId="387D28F2" w14:textId="77777777" w:rsidTr="0052198B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399F36" w14:textId="77777777" w:rsidR="00BA0374" w:rsidRPr="002B4E4C" w:rsidRDefault="00BA0374" w:rsidP="0052198B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9DCC5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B5B4EB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A90DB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C41A92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3C13E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D55079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49B87F14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4989079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5383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EFB575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>
              <w:t>-</w:t>
            </w:r>
            <w:r w:rsidRPr="00A10020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1146C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E03E2">
              <w:t>-0.002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D55B7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E03E2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2EB4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DC3A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AA7F696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5EFF7B9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4116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70AA6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10020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462135" w14:textId="7E7A2580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E03E2">
              <w:t>0.00</w:t>
            </w:r>
            <w:r w:rsidR="007646B5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74EEC2" w14:textId="2A2E1F56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E03E2">
              <w:t>0.00</w:t>
            </w:r>
            <w:r w:rsidR="007646B5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4FBD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AF2B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163FF476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8ABBCF9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662F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8C60F1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10020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113D9C0E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E03E2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03988F7E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E03E2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5966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187B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02E5A354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921B2D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294BB0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9497D92" w14:textId="1034C988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10020">
              <w:t>0.00</w:t>
            </w:r>
            <w:r w:rsidR="007646B5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36333B0" w14:textId="2F2C9DD2" w:rsidR="00BA0374" w:rsidRPr="002B4E4C" w:rsidRDefault="007646B5" w:rsidP="0052198B">
            <w:pPr>
              <w:jc w:val="right"/>
              <w:rPr>
                <w:color w:val="000000"/>
              </w:rPr>
            </w:pPr>
            <w:r>
              <w:t>-</w:t>
            </w:r>
            <w:r w:rsidR="00BA0374" w:rsidRPr="008E03E2">
              <w:t>0.00</w:t>
            </w: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FC2C51F" w14:textId="0EC81760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E03E2">
              <w:t>0.00</w:t>
            </w:r>
            <w:r w:rsidR="007646B5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111C76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7DD1C7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6382C083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B76D83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10393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22E5B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>
              <w:t>-</w:t>
            </w:r>
            <w:r w:rsidRPr="00781B8D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4342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E1109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22B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1F2C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0EC78D97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A204027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D47D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697B5A" w14:textId="099FB22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781B8D">
              <w:t>0.00</w:t>
            </w:r>
            <w:r w:rsidR="007646B5"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AE118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315C1" w14:textId="43F1A3B9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0.00</w:t>
            </w:r>
            <w:r w:rsidR="007646B5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638F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7FB8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2027AEC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188F81DF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FB56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D37FC5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781B8D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7D8773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32CA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43C2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4CDA8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29861573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32A838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6C492F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404594" w14:textId="774D6A36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781B8D">
              <w:t>0.00</w:t>
            </w:r>
            <w:r w:rsidR="007646B5"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3B9E66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DC8DAA2" w14:textId="79E7F1B9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77A7E">
              <w:t>0.00</w:t>
            </w:r>
            <w:r w:rsidR="007646B5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7841D5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825F12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7571FE0D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7F1A370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BE2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E7B0E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>
              <w:t>-</w:t>
            </w:r>
            <w:r w:rsidRPr="001C6DDF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7B08C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0C993A" w14:textId="7E70EEBA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0.00</w:t>
            </w:r>
            <w:r w:rsidR="007646B5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253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1623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39BFBFE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12C218C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D633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9909F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C6DDF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1F2ADB" w14:textId="5B268F1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0.00</w:t>
            </w:r>
            <w:r w:rsidR="007646B5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BBF84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00F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23A1C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3D7A419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21F257A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D89D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CEED9B" w14:textId="6FF0835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C6DDF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7E12A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9D4A4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A06B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4E590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1893D0E5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BF3B4F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D5312A6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F590D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C6DDF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80D2F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8EE862A" w14:textId="14A59866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21D8">
              <w:t>0.00</w:t>
            </w:r>
            <w:r w:rsidR="007646B5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9DB4AD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292C42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79C1B0D6" w14:textId="26AE01EB" w:rsidR="00BA0374" w:rsidRDefault="00BA0374" w:rsidP="00BA0374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</w:t>
      </w:r>
      <w:r w:rsidR="000051FC">
        <w:t xml:space="preserve"> (including </w:t>
      </w:r>
      <w:r w:rsidR="00D34E97">
        <w:t>age</w:t>
      </w:r>
      <w:r w:rsidR="000051FC">
        <w:t xml:space="preserve">, </w:t>
      </w:r>
      <w:r w:rsidR="00D34E97">
        <w:t>gender</w:t>
      </w:r>
      <w:r w:rsidR="000051FC">
        <w:t xml:space="preserve">, and </w:t>
      </w:r>
      <w:r w:rsidR="00D34E97">
        <w:t>immigrant generation</w:t>
      </w:r>
      <w:r w:rsidR="000051FC">
        <w:t xml:space="preserve"> dummy variables)</w:t>
      </w:r>
      <w:r>
        <w:t>, ‘</w:t>
      </w:r>
      <w:r>
        <w:rPr>
          <w:b/>
          <w:bCs/>
          <w:color w:val="000000"/>
        </w:rPr>
        <w:t>Single</w:t>
      </w:r>
      <w:r>
        <w:t>’ = model that contains a single wave 1 covariate in each equation</w:t>
      </w:r>
      <w:r w:rsidR="009B3000">
        <w:t xml:space="preserve"> (and </w:t>
      </w:r>
      <w:r w:rsidR="00D34E97">
        <w:t>w</w:t>
      </w:r>
      <w:r w:rsidR="009B3000">
        <w:t xml:space="preserve">ave 1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variables in all equations)</w:t>
      </w:r>
      <w:r>
        <w:t>, ‘</w:t>
      </w:r>
      <w:r>
        <w:rPr>
          <w:b/>
          <w:bCs/>
          <w:color w:val="000000"/>
        </w:rPr>
        <w:t>Single + All</w:t>
      </w:r>
      <w:r>
        <w:t xml:space="preserve">’ = model that contains all </w:t>
      </w:r>
      <w:r w:rsidR="00D34E97">
        <w:t>wave 1</w:t>
      </w:r>
      <w:r>
        <w:t xml:space="preserve"> covariates in the equation for </w:t>
      </w:r>
      <w:r>
        <w:rPr>
          <w:i/>
          <w:iCs/>
        </w:rPr>
        <w:t>Y</w:t>
      </w:r>
      <w:r>
        <w:t xml:space="preserve"> and a single </w:t>
      </w:r>
      <w:r w:rsidR="00D34E97">
        <w:t>wave 1</w:t>
      </w:r>
      <w:r>
        <w:t xml:space="preserve"> covariate in every other equation</w:t>
      </w:r>
      <w:r w:rsidR="009B3000">
        <w:t xml:space="preserve"> (and </w:t>
      </w:r>
      <w:r w:rsidR="00D34E97">
        <w:t>wave 1</w:t>
      </w:r>
      <w:r w:rsidR="009B3000">
        <w:t xml:space="preserve">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variables in all equations)</w:t>
      </w:r>
      <w:r>
        <w:t>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 w:rsidRPr="002B4E4C">
        <w:rPr>
          <w:color w:val="000000"/>
        </w:rPr>
        <w:t xml:space="preserve"> </w:t>
      </w:r>
      <w:r>
        <w:rPr>
          <w:color w:val="000000"/>
        </w:rPr>
        <w:t>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16AA052B" w14:textId="77777777" w:rsidR="00BA0374" w:rsidRDefault="00BA0374" w:rsidP="00BA0374">
      <w:pPr>
        <w:spacing w:line="480" w:lineRule="auto"/>
        <w:rPr>
          <w:color w:val="000000"/>
        </w:rPr>
      </w:pPr>
    </w:p>
    <w:p w14:paraId="13950D2E" w14:textId="44BA5ADC" w:rsidR="00BA0374" w:rsidRPr="0063347C" w:rsidRDefault="00BA0374" w:rsidP="00BA0374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 w:rsidR="000051FC">
        <w:rPr>
          <w:b/>
          <w:bCs/>
        </w:rPr>
        <w:t>8</w:t>
      </w:r>
    </w:p>
    <w:p w14:paraId="582746EC" w14:textId="77777777" w:rsidR="00BA0374" w:rsidRDefault="00BA0374" w:rsidP="00BA0374">
      <w:pPr>
        <w:shd w:val="clear" w:color="auto" w:fill="FFFFFF"/>
        <w:spacing w:line="480" w:lineRule="auto"/>
      </w:pPr>
      <w:r>
        <w:rPr>
          <w:i/>
          <w:iCs/>
        </w:rPr>
        <w:t>Results for Analyses with mice and Bootstrap-then-Imputation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BA0374" w14:paraId="0B3E5950" w14:textId="77777777" w:rsidTr="0052198B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8A1D3" w14:textId="77777777" w:rsidR="00BA0374" w:rsidRPr="002B4E4C" w:rsidRDefault="00BA0374" w:rsidP="0052198B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2C5108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1865C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04A556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479042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7620C6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D41BE1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66034F30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F50BFB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985A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3EA5AD3" w14:textId="51347F59" w:rsidR="00BA0374" w:rsidRPr="002B4E4C" w:rsidRDefault="00BE62BB" w:rsidP="0052198B">
            <w:pPr>
              <w:jc w:val="right"/>
              <w:rPr>
                <w:color w:val="000000"/>
              </w:rPr>
            </w:pPr>
            <w:r>
              <w:t>-</w:t>
            </w:r>
            <w:r w:rsidR="00BA0374" w:rsidRPr="009A158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AB18B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B2867">
              <w:t>-0.002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E0B41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B2867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E7B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002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AE98CB1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801C2B3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713D5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E0C52B" w14:textId="504A0BF0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9A158A">
              <w:t>0.00</w:t>
            </w:r>
            <w:r w:rsidR="00BE62BB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8E6F3" w14:textId="430DE338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B2867">
              <w:t>0.00</w:t>
            </w:r>
            <w:r w:rsidR="00BE62BB"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C0DA70" w14:textId="55C5293E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B2867">
              <w:t>0.00</w:t>
            </w:r>
            <w:r w:rsidR="00BE62BB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8AC3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3964B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654D511E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CC74D25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858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0FAFE2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9A158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27F459F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B2867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42CE725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B2867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650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CE801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1546575E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DD52C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357DAB2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6D8CBF" w14:textId="26BD8F70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9A158A">
              <w:t>0.00</w:t>
            </w:r>
            <w:r w:rsidR="00BE62BB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BD4A11" w14:textId="57E45B5B" w:rsidR="00BA0374" w:rsidRPr="002B4E4C" w:rsidRDefault="00BE62BB" w:rsidP="0052198B">
            <w:pPr>
              <w:jc w:val="right"/>
              <w:rPr>
                <w:color w:val="000000"/>
              </w:rPr>
            </w:pPr>
            <w:r>
              <w:t>-</w:t>
            </w:r>
            <w:r w:rsidR="00BA0374" w:rsidRPr="008B2867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5CF1703" w14:textId="5B5E2AAD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8B2867">
              <w:t>0.00</w:t>
            </w:r>
            <w:r w:rsidR="00BE62BB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B2A7B6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D89E86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4EDEEF20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927F13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1D224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7B1E8" w14:textId="660653FE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50D48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C0CA74" w14:textId="387C12E0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-0.00</w:t>
            </w:r>
            <w:r w:rsidR="00BE62BB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238E52" w14:textId="132D0865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0.00</w:t>
            </w:r>
            <w:r w:rsidR="00BE62BB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7B2E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72CE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551CF651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988717F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EAE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1F857B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50D48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506B11" w14:textId="3B82FEF4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0.00</w:t>
            </w:r>
            <w:r w:rsidR="00BE62BB"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284B89" w14:textId="5EC1F352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0.00</w:t>
            </w:r>
            <w:r w:rsidR="00BE62BB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690E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AD80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2AE0BFD3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3227424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E6670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3CBCF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50D48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D2A275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335B9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91C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B55E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52990D22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2BD20E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2612B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A9CA94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50D48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2CD7B84" w14:textId="2B7B9B34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0083239" w14:textId="07E47381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4427CA">
              <w:t>0.00</w:t>
            </w:r>
            <w:r w:rsidR="00BE62BB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B822F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E3E2EE0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483D7E32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9AF50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lastRenderedPageBreak/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615D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EE35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7B761C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B416B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21DB0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D80E0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21DB0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CD3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6D887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5776117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A1F251E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FF1C0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4A245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7B761C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613CC2" w14:textId="5C709B32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21DB0">
              <w:t>0.00</w:t>
            </w:r>
            <w:r w:rsidR="00BE62BB"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648A76" w14:textId="6D259005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21DB0">
              <w:t>0.00</w:t>
            </w:r>
            <w:r w:rsidR="00BE62BB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09C3F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6EC62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31D51AE5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FD48201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C2140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E479A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7B761C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1AE61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21DB0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FAAB1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21DB0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994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EFF4D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12541F0F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758893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30550E2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FCD40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7B761C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5E0567" w14:textId="5513139D" w:rsidR="00BA0374" w:rsidRPr="002B4E4C" w:rsidRDefault="00BE62BB" w:rsidP="0052198B">
            <w:pPr>
              <w:jc w:val="right"/>
              <w:rPr>
                <w:color w:val="000000"/>
              </w:rPr>
            </w:pPr>
            <w:r>
              <w:t>-</w:t>
            </w:r>
            <w:r w:rsidR="00BA0374" w:rsidRPr="00221DB0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D020E7F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21DB0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F2DBF4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CF3DB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403837B9" w14:textId="4B29EFE3" w:rsidR="00BA0374" w:rsidRDefault="00BA0374" w:rsidP="00BA0374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</w:t>
      </w:r>
      <w:r w:rsidR="000051FC">
        <w:t xml:space="preserve"> (including </w:t>
      </w:r>
      <w:r w:rsidR="00D34E97">
        <w:t>age</w:t>
      </w:r>
      <w:r w:rsidR="000051FC">
        <w:t xml:space="preserve">, </w:t>
      </w:r>
      <w:r w:rsidR="00D34E97">
        <w:t>gender</w:t>
      </w:r>
      <w:r w:rsidR="000051FC">
        <w:t xml:space="preserve">, and </w:t>
      </w:r>
      <w:r w:rsidR="00D34E97">
        <w:t>immigrant generation</w:t>
      </w:r>
      <w:r w:rsidR="000051FC">
        <w:t xml:space="preserve"> dummy variables)</w:t>
      </w:r>
      <w:r>
        <w:t>, ‘</w:t>
      </w:r>
      <w:r>
        <w:rPr>
          <w:b/>
          <w:bCs/>
          <w:color w:val="000000"/>
        </w:rPr>
        <w:t>Single</w:t>
      </w:r>
      <w:r>
        <w:t>’ = model that contains a single wave 1 covariate in each equation</w:t>
      </w:r>
      <w:r w:rsidR="009B3000">
        <w:t xml:space="preserve"> (and </w:t>
      </w:r>
      <w:r w:rsidR="00D34E97">
        <w:t>wave 1</w:t>
      </w:r>
      <w:r w:rsidR="009B3000">
        <w:t xml:space="preserve">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variables in all equations)</w:t>
      </w:r>
      <w:r>
        <w:t>, ‘</w:t>
      </w:r>
      <w:r>
        <w:rPr>
          <w:b/>
          <w:bCs/>
          <w:color w:val="000000"/>
        </w:rPr>
        <w:t>Single + All</w:t>
      </w:r>
      <w:r>
        <w:t xml:space="preserve">’ = model that contains all wave 1 covariates in the equation for </w:t>
      </w:r>
      <w:r>
        <w:rPr>
          <w:i/>
          <w:iCs/>
        </w:rPr>
        <w:t>Y</w:t>
      </w:r>
      <w:r>
        <w:t xml:space="preserve"> and a single wave 1 covariate in every other equation</w:t>
      </w:r>
      <w:r w:rsidR="009B3000">
        <w:t xml:space="preserve"> (and </w:t>
      </w:r>
      <w:r w:rsidR="00D34E97">
        <w:t>wave 1</w:t>
      </w:r>
      <w:r w:rsidR="009B3000">
        <w:t xml:space="preserve">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variables in all equations)</w:t>
      </w:r>
      <w:r>
        <w:t>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>
        <w:rPr>
          <w:color w:val="000000"/>
        </w:rPr>
        <w:t xml:space="preserve"> 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47BE93AA" w14:textId="77777777" w:rsidR="00BA0374" w:rsidRDefault="00BA0374" w:rsidP="00BA0374">
      <w:pPr>
        <w:spacing w:line="480" w:lineRule="auto"/>
        <w:rPr>
          <w:color w:val="000000"/>
        </w:rPr>
      </w:pPr>
    </w:p>
    <w:p w14:paraId="7533CA54" w14:textId="76027F41" w:rsidR="00BA0374" w:rsidRPr="0063347C" w:rsidRDefault="00BA0374" w:rsidP="00BA0374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 w:rsidR="000051FC">
        <w:rPr>
          <w:b/>
          <w:bCs/>
        </w:rPr>
        <w:t>9</w:t>
      </w:r>
    </w:p>
    <w:p w14:paraId="5EE5F618" w14:textId="77777777" w:rsidR="00BA0374" w:rsidRDefault="00BA0374" w:rsidP="00BA0374">
      <w:pPr>
        <w:shd w:val="clear" w:color="auto" w:fill="FFFFFF"/>
        <w:spacing w:line="480" w:lineRule="auto"/>
      </w:pPr>
      <w:r>
        <w:rPr>
          <w:i/>
          <w:iCs/>
        </w:rPr>
        <w:t>Results for Analyses with Amelia and Imputation-then-Bootstrap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BA0374" w14:paraId="00154EFC" w14:textId="77777777" w:rsidTr="0052198B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EE10B" w14:textId="77777777" w:rsidR="00BA0374" w:rsidRPr="002B4E4C" w:rsidRDefault="00BA0374" w:rsidP="0052198B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AC332C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33E01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28F300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FF319F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1F8CE2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6C9823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2A7DCC51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C83CBF9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F2A9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4E37C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705B4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DB26A" w14:textId="560C76E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-0.00</w:t>
            </w:r>
            <w:r w:rsidR="00EA61FA"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727B6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F1A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7D908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24D2B5E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714130C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821D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B4257" w14:textId="1743857C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705B4">
              <w:t>0.00</w:t>
            </w:r>
            <w:r w:rsidR="00EA61FA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9CD91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417797" w14:textId="5540766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0.00</w:t>
            </w:r>
            <w:r w:rsidR="00EA61FA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597B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7311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C440497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258586F9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BF6C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E97583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705B4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3F2028D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4FCBD1D7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0A1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A851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EA36015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70F489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622A3F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FBA41A" w14:textId="74E09EA3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F705B4">
              <w:t>0.00</w:t>
            </w:r>
            <w:r w:rsidR="00EA61FA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0D364E5" w14:textId="1EBD9CF1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0.00</w:t>
            </w:r>
            <w:r w:rsidR="00EA61FA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8D26ACD" w14:textId="3C322F81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05091">
              <w:t>0.00</w:t>
            </w:r>
            <w:r w:rsidR="00EA61FA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580A7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B9783AC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2B080576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9F68B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2881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72E04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>
              <w:t>-</w:t>
            </w:r>
            <w:r w:rsidRPr="00184244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13417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-0.002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C23544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216F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DD9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0FE154D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6DC63B5C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01ACD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711757" w14:textId="3544ED2F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84244">
              <w:t>0.00</w:t>
            </w:r>
            <w:r w:rsidR="00EA61FA"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9961E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4D0FEB" w14:textId="7811D509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0.00</w:t>
            </w:r>
            <w:r w:rsidR="00EA61FA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864AB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AB3BD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01B4278F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E841B4A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7CA84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DB4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84244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A83A6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1D49F6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468DE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F1CD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63C47111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5E4395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6539288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294F6F" w14:textId="01B4784F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84244">
              <w:t>0.00</w:t>
            </w:r>
            <w:r w:rsidR="00EA61FA">
              <w:t>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D9420B" w14:textId="422B158E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0.00</w:t>
            </w:r>
            <w:r w:rsidR="00EA61FA">
              <w:t>1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FC78F6B" w14:textId="73423256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B94DEB">
              <w:t>0.00</w:t>
            </w:r>
            <w:r w:rsidR="00EA61FA">
              <w:t>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D5B33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4A3448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7BE20BF0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327AE3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048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383D89" w14:textId="304BEFD2" w:rsidR="00BA0374" w:rsidRPr="002B4E4C" w:rsidRDefault="00EA61FA" w:rsidP="0052198B">
            <w:pPr>
              <w:jc w:val="right"/>
              <w:rPr>
                <w:color w:val="000000"/>
              </w:rPr>
            </w:pPr>
            <w:r>
              <w:t>-</w:t>
            </w:r>
            <w:r w:rsidR="00BA0374" w:rsidRPr="00C00906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9D96F9" w14:textId="6B67EA2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-0.00</w:t>
            </w:r>
            <w:r w:rsidR="00EA61FA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B59F02" w14:textId="0345DAC4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0.00</w:t>
            </w:r>
            <w:r w:rsidR="00EA61FA"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CD5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821B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304F6726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9F0F6FE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02B0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C0046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C00906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5171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02BD7E" w14:textId="52F72114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0.00</w:t>
            </w:r>
            <w:r w:rsidR="00EA61FA">
              <w:t>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6E34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9C27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1F3CFA68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134F49E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4D1C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2FDA7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C00906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DC5F3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3DC17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793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B9557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1E4D2EBF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5F2C6B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37C709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5DB66A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C00906">
              <w:t>0.004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CFE1DCA" w14:textId="5DE97104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0.00</w:t>
            </w:r>
            <w:r w:rsidR="00EA61FA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BC9914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EA4196">
              <w:t>0.008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ED7CBF3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7B82415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12070532" w14:textId="22E4C78F" w:rsidR="00BA0374" w:rsidRDefault="00BA0374" w:rsidP="00BA0374">
      <w:pPr>
        <w:spacing w:line="480" w:lineRule="auto"/>
        <w:rPr>
          <w:color w:val="000000"/>
        </w:rPr>
      </w:pPr>
      <w:r w:rsidRPr="00A6344A">
        <w:rPr>
          <w:i/>
          <w:iCs/>
        </w:rPr>
        <w:lastRenderedPageBreak/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</w:t>
      </w:r>
      <w:r w:rsidR="000051FC">
        <w:t xml:space="preserve"> (including </w:t>
      </w:r>
      <w:r w:rsidR="00D34E97">
        <w:t>age</w:t>
      </w:r>
      <w:r w:rsidR="000051FC">
        <w:t xml:space="preserve">, </w:t>
      </w:r>
      <w:r w:rsidR="00D34E97">
        <w:t>gender</w:t>
      </w:r>
      <w:r w:rsidR="000051FC">
        <w:t xml:space="preserve">, and </w:t>
      </w:r>
      <w:r w:rsidR="00D34E97">
        <w:t>immigrant generation</w:t>
      </w:r>
      <w:r w:rsidR="000051FC">
        <w:t xml:space="preserve"> dummy variables)</w:t>
      </w:r>
      <w:r>
        <w:t>, ‘</w:t>
      </w:r>
      <w:r>
        <w:rPr>
          <w:b/>
          <w:bCs/>
          <w:color w:val="000000"/>
        </w:rPr>
        <w:t>Single</w:t>
      </w:r>
      <w:r>
        <w:t>’ = model that contains a single wave 1 covariate in each equation</w:t>
      </w:r>
      <w:r w:rsidR="009B3000">
        <w:t xml:space="preserve"> (and </w:t>
      </w:r>
      <w:r w:rsidR="00D34E97">
        <w:t>w</w:t>
      </w:r>
      <w:r w:rsidR="009B3000">
        <w:t xml:space="preserve">ave 1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variables in all equations)</w:t>
      </w:r>
      <w:r>
        <w:t>, ‘</w:t>
      </w:r>
      <w:r>
        <w:rPr>
          <w:b/>
          <w:bCs/>
          <w:color w:val="000000"/>
        </w:rPr>
        <w:t>Single + All</w:t>
      </w:r>
      <w:r>
        <w:t xml:space="preserve">’ = model that contains all wave 1 covariates in the equation for </w:t>
      </w:r>
      <w:r>
        <w:rPr>
          <w:i/>
          <w:iCs/>
        </w:rPr>
        <w:t>Y</w:t>
      </w:r>
      <w:r>
        <w:t xml:space="preserve"> and a single wave 1 covariate in every other equation</w:t>
      </w:r>
      <w:r w:rsidR="009B3000">
        <w:t xml:space="preserve"> (and </w:t>
      </w:r>
      <w:r w:rsidR="00D34E97">
        <w:t>wave 1</w:t>
      </w:r>
      <w:r w:rsidR="009B3000">
        <w:t xml:space="preserve">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variables in all equations)</w:t>
      </w:r>
      <w:r>
        <w:t>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>
        <w:rPr>
          <w:color w:val="000000"/>
        </w:rPr>
        <w:t xml:space="preserve"> c</w:t>
      </w:r>
      <w:r w:rsidRPr="002B4E4C">
        <w:rPr>
          <w:color w:val="000000"/>
        </w:rPr>
        <w:t>entrality</w:t>
      </w:r>
      <w:r w:rsidR="009B3000">
        <w:rPr>
          <w:color w:val="000000"/>
        </w:rPr>
        <w:t xml:space="preserve">, </w:t>
      </w:r>
      <w:r>
        <w:rPr>
          <w:color w:val="000000"/>
        </w:rPr>
        <w:t>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325EFE4C" w14:textId="77777777" w:rsidR="00BA0374" w:rsidRDefault="00BA0374" w:rsidP="00BA0374">
      <w:pPr>
        <w:spacing w:line="480" w:lineRule="auto"/>
        <w:rPr>
          <w:color w:val="000000"/>
        </w:rPr>
      </w:pPr>
    </w:p>
    <w:p w14:paraId="014E66C1" w14:textId="5420B6E6" w:rsidR="00BA0374" w:rsidRPr="0063347C" w:rsidRDefault="00BA0374" w:rsidP="00BA0374">
      <w:pPr>
        <w:shd w:val="clear" w:color="auto" w:fill="FFFFFF"/>
        <w:spacing w:line="480" w:lineRule="auto"/>
        <w:rPr>
          <w:b/>
          <w:bCs/>
        </w:rPr>
      </w:pPr>
      <w:r w:rsidRPr="0063347C">
        <w:rPr>
          <w:b/>
          <w:bCs/>
        </w:rPr>
        <w:t xml:space="preserve">Table </w:t>
      </w:r>
      <w:r w:rsidR="000051FC">
        <w:rPr>
          <w:b/>
          <w:bCs/>
        </w:rPr>
        <w:t>10</w:t>
      </w:r>
    </w:p>
    <w:p w14:paraId="37C8B5FB" w14:textId="77777777" w:rsidR="00BA0374" w:rsidRDefault="00BA0374" w:rsidP="00BA0374">
      <w:pPr>
        <w:shd w:val="clear" w:color="auto" w:fill="FFFFFF"/>
        <w:spacing w:line="480" w:lineRule="auto"/>
      </w:pPr>
      <w:r>
        <w:rPr>
          <w:i/>
          <w:iCs/>
        </w:rPr>
        <w:t>Results for Analyses with mice and Imputation-then-Bootstrap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1440"/>
        <w:gridCol w:w="1947"/>
        <w:gridCol w:w="1443"/>
        <w:gridCol w:w="1474"/>
        <w:gridCol w:w="1474"/>
        <w:gridCol w:w="846"/>
        <w:gridCol w:w="736"/>
      </w:tblGrid>
      <w:tr w:rsidR="00BA0374" w14:paraId="1267AEE5" w14:textId="77777777" w:rsidTr="0052198B">
        <w:trPr>
          <w:trHeight w:val="264"/>
        </w:trPr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FA3D0C" w14:textId="77777777" w:rsidR="00BA0374" w:rsidRPr="002B4E4C" w:rsidRDefault="00BA0374" w:rsidP="0052198B">
            <w:pPr>
              <w:rPr>
                <w:color w:val="000000"/>
              </w:rPr>
            </w:pPr>
            <w:r>
              <w:rPr>
                <w:color w:val="000000"/>
              </w:rPr>
              <w:t>Covariates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04B2A8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Indirect Effect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467A7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2B4E4C">
              <w:rPr>
                <w:color w:val="000000"/>
              </w:rPr>
              <w:t>Estimate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D54A93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LLCI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9AD034" w14:textId="77777777" w:rsidR="00BA0374" w:rsidRPr="002B4E4C" w:rsidRDefault="00BA0374" w:rsidP="0052198B">
            <w:pPr>
              <w:jc w:val="right"/>
              <w:rPr>
                <w:i/>
                <w:iCs/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ULCI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23CD3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2542DA4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6E07FAB6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2EAD3F8A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 w:rsidRPr="00E630DB">
              <w:rPr>
                <w:b/>
                <w:bCs/>
                <w:color w:val="000000"/>
              </w:rPr>
              <w:t>All</w:t>
            </w: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5B63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9DBF0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>
              <w:t>-</w:t>
            </w:r>
            <w:r w:rsidRPr="009E228B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B6561F" w14:textId="75FD24BF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D3997">
              <w:t>-0.00</w:t>
            </w:r>
            <w:r w:rsidR="00BF1792">
              <w:t>2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12B05D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D3997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B61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AE6E0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772165F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32A0211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E1A05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591578" w14:textId="13B9561D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9E228B">
              <w:t>0.00</w:t>
            </w:r>
            <w:r w:rsidR="00BF1792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998CC2" w14:textId="08AD6AFD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D3997">
              <w:t>0.00</w:t>
            </w:r>
            <w:r w:rsidR="00BF1792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9EB89" w14:textId="0D491742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D3997">
              <w:t>0.00</w:t>
            </w:r>
            <w:r w:rsidR="00BF1792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A06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EE9F5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056D8B91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right w:val="nil"/>
            </w:tcBorders>
          </w:tcPr>
          <w:p w14:paraId="6ED12774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9189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D53337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9E228B">
              <w:t>0.000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7BEA88B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D3997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14:paraId="6F8BB3B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D3997">
              <w:t>0.001</w:t>
            </w:r>
          </w:p>
        </w:tc>
        <w:tc>
          <w:tcPr>
            <w:tcW w:w="84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A483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19D55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0C19FF88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FEA4E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1C87C0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90D3A6" w14:textId="6E21777B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9E228B">
              <w:t>0.00</w:t>
            </w:r>
            <w:r w:rsidR="00BF1792">
              <w:t>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146DA8" w14:textId="0DDE1B3D" w:rsidR="00BA0374" w:rsidRPr="002B4E4C" w:rsidRDefault="00BF1792" w:rsidP="0052198B">
            <w:pPr>
              <w:jc w:val="right"/>
              <w:rPr>
                <w:color w:val="000000"/>
              </w:rPr>
            </w:pPr>
            <w:r>
              <w:t>-</w:t>
            </w:r>
            <w:r w:rsidR="00BA0374" w:rsidRPr="003D3997">
              <w:t>0.00</w:t>
            </w:r>
            <w:r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8BFA485" w14:textId="343936E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D3997">
              <w:t>0.00</w:t>
            </w:r>
            <w:r w:rsidR="00BF1792">
              <w:t>6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B1737AB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BF5B30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52C3BD40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6CB5A2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EEA7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505E99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>
              <w:t>-</w:t>
            </w:r>
            <w:r w:rsidRPr="00147DAF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49FCEE" w14:textId="5A435C00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-0.00</w:t>
            </w:r>
            <w:r w:rsidR="00BF1792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9791F2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520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18AF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0137A4D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3A402B9F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57C4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F1CE5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47DAF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86058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8DB8D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8286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2E8A2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C64E63B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4647A195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A127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492EB5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47DAF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91B1EA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6347E1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975D5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1FDB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7E92EA9B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E13ED2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33F2E1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F96D7F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147DAF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7EA46C0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A914A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3501CA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E895F5E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1C9527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BA0374" w14:paraId="7980AB26" w14:textId="77777777" w:rsidTr="0052198B">
        <w:trPr>
          <w:trHeight w:val="312"/>
        </w:trPr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53F3CA9" w14:textId="77777777" w:rsidR="00BA0374" w:rsidRPr="00E630DB" w:rsidRDefault="00BA0374" w:rsidP="0052198B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Single + All</w:t>
            </w:r>
          </w:p>
        </w:tc>
        <w:tc>
          <w:tcPr>
            <w:tcW w:w="19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FF14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1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747A62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>
              <w:t>-</w:t>
            </w:r>
            <w:r w:rsidRPr="005F084E">
              <w:t>0.000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87CC75" w14:textId="04C2431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66B02">
              <w:t>-0.00</w:t>
            </w:r>
            <w:r w:rsidR="00BF1792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4BB6996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66B02">
              <w:t>0.001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8B7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92442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46C460F6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5832D355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23E78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2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2834C3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5F084E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0FFD40" w14:textId="79C251D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66B02">
              <w:t>0.00</w:t>
            </w:r>
            <w:r w:rsidR="00BF1792">
              <w:t>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73524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66B02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9037B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3F4E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20FC9A7E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76C89E19" w14:textId="77777777" w:rsidR="00BA0374" w:rsidRPr="002B4E4C" w:rsidRDefault="00BA0374" w:rsidP="0052198B">
            <w:pPr>
              <w:rPr>
                <w:i/>
                <w:iCs/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208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3</w:t>
            </w:r>
            <w:r w:rsidRPr="002B4E4C">
              <w:rPr>
                <w:color w:val="000000"/>
              </w:rPr>
              <w:t xml:space="preserve">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CE7494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5F084E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5B2A08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66B02">
              <w:t>-0.001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684DB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66B02">
              <w:t>0.001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988DE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4995E" w14:textId="77777777" w:rsidR="00BA0374" w:rsidRDefault="00BA0374" w:rsidP="0052198B">
            <w:pPr>
              <w:rPr>
                <w:sz w:val="20"/>
                <w:szCs w:val="20"/>
              </w:rPr>
            </w:pPr>
          </w:p>
        </w:tc>
      </w:tr>
      <w:tr w:rsidR="00BA0374" w14:paraId="645E10FA" w14:textId="77777777" w:rsidTr="0052198B">
        <w:trPr>
          <w:trHeight w:val="312"/>
        </w:trPr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5BFAA78" w14:textId="77777777" w:rsidR="00BA0374" w:rsidRPr="002B4E4C" w:rsidRDefault="00BA0374" w:rsidP="0052198B">
            <w:pPr>
              <w:rPr>
                <w:color w:val="000000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FB7723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Σ(</w:t>
            </w:r>
            <w:proofErr w:type="spellStart"/>
            <w:r w:rsidRPr="002B4E4C">
              <w:rPr>
                <w:i/>
                <w:iCs/>
                <w:color w:val="000000"/>
              </w:rPr>
              <w:t>a</w:t>
            </w:r>
            <w:r w:rsidRPr="002B4E4C">
              <w:rPr>
                <w:i/>
                <w:iCs/>
                <w:color w:val="000000"/>
                <w:vertAlign w:val="subscript"/>
              </w:rPr>
              <w:t>i</w:t>
            </w:r>
            <w:r w:rsidRPr="002B4E4C">
              <w:rPr>
                <w:i/>
                <w:iCs/>
                <w:color w:val="000000"/>
              </w:rPr>
              <w:t>b</w:t>
            </w:r>
            <w:r w:rsidRPr="0014631E">
              <w:rPr>
                <w:i/>
                <w:iCs/>
                <w:color w:val="000000"/>
                <w:vertAlign w:val="subscript"/>
              </w:rPr>
              <w:t>i</w:t>
            </w:r>
            <w:proofErr w:type="spellEnd"/>
            <w:r w:rsidRPr="002B4E4C">
              <w:rPr>
                <w:color w:val="000000"/>
              </w:rPr>
              <w:t xml:space="preserve">) 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1666BC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5F084E">
              <w:t>0.003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C701F39" w14:textId="2ECAB08C" w:rsidR="00BA0374" w:rsidRPr="002B4E4C" w:rsidRDefault="00BF1792" w:rsidP="0052198B">
            <w:pPr>
              <w:jc w:val="right"/>
              <w:rPr>
                <w:color w:val="000000"/>
              </w:rPr>
            </w:pPr>
            <w:r>
              <w:t>-</w:t>
            </w:r>
            <w:r w:rsidR="00BA0374" w:rsidRPr="00A66B02">
              <w:t>0.000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6AC153" w14:textId="77777777" w:rsidR="00BA0374" w:rsidRPr="002B4E4C" w:rsidRDefault="00BA0374" w:rsidP="0052198B">
            <w:pPr>
              <w:jc w:val="right"/>
              <w:rPr>
                <w:color w:val="000000"/>
              </w:rPr>
            </w:pPr>
            <w:r w:rsidRPr="00A66B02">
              <w:t>0.007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E874B1F" w14:textId="77777777" w:rsidR="00BA0374" w:rsidRPr="002B4E4C" w:rsidRDefault="00BA0374" w:rsidP="0052198B">
            <w:pPr>
              <w:rPr>
                <w:color w:val="000000"/>
              </w:rPr>
            </w:pPr>
            <w:r w:rsidRPr="002B4E4C">
              <w:rPr>
                <w:color w:val="000000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759A00F" w14:textId="77777777" w:rsidR="00BA0374" w:rsidRDefault="00BA0374" w:rsidP="0052198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</w:tbl>
    <w:p w14:paraId="07BE2323" w14:textId="3DC88899" w:rsidR="00BA0374" w:rsidRDefault="00BA0374" w:rsidP="00BA0374">
      <w:pPr>
        <w:spacing w:line="480" w:lineRule="auto"/>
        <w:rPr>
          <w:color w:val="000000"/>
        </w:rPr>
      </w:pPr>
      <w:r w:rsidRPr="00A6344A">
        <w:rPr>
          <w:i/>
          <w:iCs/>
        </w:rPr>
        <w:t>Note.</w:t>
      </w:r>
      <w:r>
        <w:rPr>
          <w:i/>
          <w:iCs/>
        </w:rPr>
        <w:t xml:space="preserve"> </w:t>
      </w:r>
      <w:r>
        <w:t>‘</w:t>
      </w:r>
      <w:r w:rsidRPr="00AA1EB3">
        <w:rPr>
          <w:b/>
          <w:bCs/>
        </w:rPr>
        <w:t>All</w:t>
      </w:r>
      <w:r>
        <w:t>’ = model that contains all wave 1 covariates in all equations</w:t>
      </w:r>
      <w:r w:rsidR="000051FC">
        <w:t xml:space="preserve"> (including </w:t>
      </w:r>
      <w:r w:rsidR="00D34E97">
        <w:t>age</w:t>
      </w:r>
      <w:r w:rsidR="000051FC">
        <w:t xml:space="preserve">, </w:t>
      </w:r>
      <w:r w:rsidR="00D34E97">
        <w:t>gender</w:t>
      </w:r>
      <w:r w:rsidR="000051FC">
        <w:t xml:space="preserve">, and </w:t>
      </w:r>
      <w:r w:rsidR="00D34E97">
        <w:t>immigrant generation</w:t>
      </w:r>
      <w:r w:rsidR="000051FC">
        <w:t xml:space="preserve"> dummy variables)</w:t>
      </w:r>
      <w:r>
        <w:t>, ‘</w:t>
      </w:r>
      <w:r>
        <w:rPr>
          <w:b/>
          <w:bCs/>
          <w:color w:val="000000"/>
        </w:rPr>
        <w:t>Single</w:t>
      </w:r>
      <w:r>
        <w:t>’ = model that contains a single wave 1 covariate in each equation</w:t>
      </w:r>
      <w:r w:rsidR="009B3000">
        <w:t xml:space="preserve"> (and </w:t>
      </w:r>
      <w:r w:rsidR="00D34E97">
        <w:t>wave 1</w:t>
      </w:r>
      <w:r w:rsidR="009B3000">
        <w:t xml:space="preserve">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</w:t>
      </w:r>
      <w:r w:rsidR="009B3000">
        <w:lastRenderedPageBreak/>
        <w:t>variables in all equations)</w:t>
      </w:r>
      <w:r>
        <w:t>, ‘</w:t>
      </w:r>
      <w:r>
        <w:rPr>
          <w:b/>
          <w:bCs/>
          <w:color w:val="000000"/>
        </w:rPr>
        <w:t>Single + All</w:t>
      </w:r>
      <w:r>
        <w:t xml:space="preserve">’ = model that contains all </w:t>
      </w:r>
      <w:r w:rsidR="00D34E97">
        <w:t>wave 1</w:t>
      </w:r>
      <w:r>
        <w:t xml:space="preserve"> covariates in the equation for </w:t>
      </w:r>
      <w:r>
        <w:rPr>
          <w:i/>
          <w:iCs/>
        </w:rPr>
        <w:t>Y</w:t>
      </w:r>
      <w:r>
        <w:t xml:space="preserve"> and a single wave 1 covariate in every other equation</w:t>
      </w:r>
      <w:r w:rsidR="009B3000">
        <w:t xml:space="preserve"> (and </w:t>
      </w:r>
      <w:r w:rsidR="00D34E97">
        <w:t>wave 1</w:t>
      </w:r>
      <w:r w:rsidR="009B3000">
        <w:t xml:space="preserve"> </w:t>
      </w:r>
      <w:r w:rsidR="00D34E97">
        <w:t>age</w:t>
      </w:r>
      <w:r w:rsidR="009B3000">
        <w:t xml:space="preserve">, </w:t>
      </w:r>
      <w:r w:rsidR="00D34E97">
        <w:t>wave 1</w:t>
      </w:r>
      <w:r w:rsidR="009B3000">
        <w:t xml:space="preserve"> </w:t>
      </w:r>
      <w:r w:rsidR="00D34E97">
        <w:t>gender</w:t>
      </w:r>
      <w:r w:rsidR="009B3000">
        <w:t xml:space="preserve">, and </w:t>
      </w:r>
      <w:r w:rsidR="00D34E97">
        <w:t>immigrant generation</w:t>
      </w:r>
      <w:r w:rsidR="009B3000">
        <w:t xml:space="preserve"> dummy variables in all equations)</w:t>
      </w:r>
      <w:r>
        <w:t>, ‘</w:t>
      </w:r>
      <w:r w:rsidRPr="0080767B">
        <w:rPr>
          <w:i/>
          <w:iCs/>
          <w:color w:val="000000"/>
        </w:rPr>
        <w:t>a</w:t>
      </w:r>
      <w:r w:rsidRPr="0080767B">
        <w:rPr>
          <w:i/>
          <w:iCs/>
          <w:color w:val="000000"/>
          <w:vertAlign w:val="subscript"/>
        </w:rPr>
        <w:t>1</w:t>
      </w:r>
      <w:r w:rsidRPr="0080767B">
        <w:rPr>
          <w:i/>
          <w:iCs/>
          <w:color w:val="000000"/>
        </w:rPr>
        <w:t>b</w:t>
      </w:r>
      <w:r w:rsidRPr="0080767B">
        <w:rPr>
          <w:i/>
          <w:iCs/>
          <w:color w:val="000000"/>
          <w:vertAlign w:val="subscript"/>
        </w:rPr>
        <w:t>1</w:t>
      </w:r>
      <w:r>
        <w:rPr>
          <w:color w:val="000000"/>
        </w:rPr>
        <w:t>’</w:t>
      </w:r>
      <w:r>
        <w:rPr>
          <w:color w:val="000000"/>
          <w:vertAlign w:val="subscript"/>
        </w:rPr>
        <w:t xml:space="preserve"> </w:t>
      </w:r>
      <w:r>
        <w:t>=</w:t>
      </w:r>
      <w:r w:rsidRPr="0014631E">
        <w:t xml:space="preserve"> specific indirect effect through</w:t>
      </w:r>
      <w:r>
        <w:rPr>
          <w:i/>
          <w:iCs/>
        </w:rPr>
        <w:t xml:space="preserve"> </w:t>
      </w:r>
      <w:r>
        <w:rPr>
          <w:color w:val="000000"/>
        </w:rPr>
        <w:t>wave 2</w:t>
      </w:r>
      <w:r w:rsidRPr="002B4E4C">
        <w:rPr>
          <w:color w:val="000000"/>
        </w:rPr>
        <w:t xml:space="preserve"> </w:t>
      </w:r>
      <w:r w:rsidR="00161ABD">
        <w:rPr>
          <w:color w:val="000000"/>
        </w:rPr>
        <w:t>ethnic</w:t>
      </w:r>
      <w:r w:rsidRPr="002B4E4C">
        <w:rPr>
          <w:color w:val="000000"/>
        </w:rPr>
        <w:t xml:space="preserve"> </w:t>
      </w:r>
      <w:r>
        <w:rPr>
          <w:color w:val="000000"/>
        </w:rPr>
        <w:t>c</w:t>
      </w:r>
      <w:r w:rsidRPr="002B4E4C">
        <w:rPr>
          <w:color w:val="000000"/>
        </w:rPr>
        <w:t>entrality</w:t>
      </w:r>
      <w:r>
        <w:rPr>
          <w:color w:val="000000"/>
        </w:rPr>
        <w:t>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2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2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private regard, ‘</w:t>
      </w:r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3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3</w:t>
      </w:r>
      <w:r>
        <w:rPr>
          <w:color w:val="000000"/>
        </w:rPr>
        <w:t xml:space="preserve">’ = specific indirect effect through wave 2 </w:t>
      </w:r>
      <w:r w:rsidR="00161ABD">
        <w:rPr>
          <w:color w:val="000000"/>
        </w:rPr>
        <w:t>ethnic</w:t>
      </w:r>
      <w:r>
        <w:rPr>
          <w:color w:val="000000"/>
        </w:rPr>
        <w:t xml:space="preserve"> public regard, ‘</w:t>
      </w:r>
      <w:r w:rsidRPr="002B4E4C">
        <w:rPr>
          <w:color w:val="000000"/>
        </w:rPr>
        <w:t>Σ(</w:t>
      </w:r>
      <w:proofErr w:type="spellStart"/>
      <w:r w:rsidRPr="002B4E4C">
        <w:rPr>
          <w:i/>
          <w:iCs/>
          <w:color w:val="000000"/>
        </w:rPr>
        <w:t>a</w:t>
      </w:r>
      <w:r w:rsidRPr="002B4E4C">
        <w:rPr>
          <w:i/>
          <w:iCs/>
          <w:color w:val="000000"/>
          <w:vertAlign w:val="subscript"/>
        </w:rPr>
        <w:t>i</w:t>
      </w:r>
      <w:r w:rsidRPr="002B4E4C">
        <w:rPr>
          <w:i/>
          <w:iCs/>
          <w:color w:val="000000"/>
        </w:rPr>
        <w:t>b</w:t>
      </w:r>
      <w:r w:rsidRPr="0014631E">
        <w:rPr>
          <w:i/>
          <w:iCs/>
          <w:color w:val="000000"/>
          <w:vertAlign w:val="subscript"/>
        </w:rPr>
        <w:t>i</w:t>
      </w:r>
      <w:proofErr w:type="spellEnd"/>
      <w:r w:rsidRPr="002B4E4C">
        <w:rPr>
          <w:color w:val="000000"/>
        </w:rPr>
        <w:t>)</w:t>
      </w:r>
      <w:r>
        <w:rPr>
          <w:color w:val="000000"/>
        </w:rPr>
        <w:t>’</w:t>
      </w:r>
      <w:r w:rsidRPr="002B4E4C">
        <w:rPr>
          <w:color w:val="000000"/>
        </w:rPr>
        <w:t xml:space="preserve"> </w:t>
      </w:r>
      <w:r>
        <w:rPr>
          <w:color w:val="000000"/>
        </w:rPr>
        <w:t>= total indirect effect, ‘</w:t>
      </w:r>
      <w:r w:rsidRPr="00D371E5">
        <w:rPr>
          <w:i/>
          <w:iCs/>
          <w:color w:val="000000"/>
        </w:rPr>
        <w:t>LLCI</w:t>
      </w:r>
      <w:r>
        <w:rPr>
          <w:color w:val="000000"/>
        </w:rPr>
        <w:t>’ = lower limit of percentile bootstrap confidence interval, ‘</w:t>
      </w:r>
      <w:r w:rsidRPr="00D371E5">
        <w:rPr>
          <w:i/>
          <w:iCs/>
          <w:color w:val="000000"/>
        </w:rPr>
        <w:t>ULCI</w:t>
      </w:r>
      <w:r>
        <w:rPr>
          <w:color w:val="000000"/>
        </w:rPr>
        <w:t>’ = upper limit of percentile bootstrap confidence interval.</w:t>
      </w:r>
    </w:p>
    <w:p w14:paraId="2456A0CD" w14:textId="77777777" w:rsidR="00BA0374" w:rsidRDefault="00BA0374" w:rsidP="00BA0374">
      <w:pPr>
        <w:spacing w:line="480" w:lineRule="auto"/>
        <w:rPr>
          <w:color w:val="000000"/>
        </w:rPr>
      </w:pPr>
    </w:p>
    <w:p w14:paraId="50C80784" w14:textId="597DE22F" w:rsidR="00FA55D9" w:rsidRDefault="00BA0374" w:rsidP="00BA0374">
      <w:pPr>
        <w:spacing w:line="480" w:lineRule="auto"/>
        <w:rPr>
          <w:color w:val="000000"/>
        </w:rPr>
      </w:pPr>
      <w:r>
        <w:rPr>
          <w:color w:val="000000"/>
        </w:rPr>
        <w:t xml:space="preserve">Examining Tables </w:t>
      </w:r>
      <w:r w:rsidR="00617B31">
        <w:rPr>
          <w:color w:val="000000"/>
        </w:rPr>
        <w:t>7</w:t>
      </w:r>
      <w:r>
        <w:rPr>
          <w:color w:val="000000"/>
        </w:rPr>
        <w:t xml:space="preserve">, </w:t>
      </w:r>
      <w:r w:rsidR="00617B31">
        <w:rPr>
          <w:color w:val="000000"/>
        </w:rPr>
        <w:t>8</w:t>
      </w:r>
      <w:r>
        <w:rPr>
          <w:color w:val="000000"/>
        </w:rPr>
        <w:t xml:space="preserve">, </w:t>
      </w:r>
      <w:r w:rsidR="00617B31">
        <w:rPr>
          <w:color w:val="000000"/>
        </w:rPr>
        <w:t>9</w:t>
      </w:r>
      <w:r>
        <w:rPr>
          <w:color w:val="000000"/>
        </w:rPr>
        <w:t xml:space="preserve">, and </w:t>
      </w:r>
      <w:r w:rsidR="00617B31">
        <w:rPr>
          <w:color w:val="000000"/>
        </w:rPr>
        <w:t>10</w:t>
      </w:r>
      <w:r>
        <w:rPr>
          <w:color w:val="000000"/>
        </w:rPr>
        <w:t>, we see that the only instances where the conclusions reached differ from the conclusions reached in our analysis</w:t>
      </w:r>
      <w:r w:rsidR="00FA55D9">
        <w:rPr>
          <w:color w:val="000000"/>
        </w:rPr>
        <w:t xml:space="preserve"> from Table 6</w:t>
      </w:r>
      <w:r>
        <w:rPr>
          <w:color w:val="000000"/>
        </w:rPr>
        <w:t xml:space="preserve"> occur </w:t>
      </w:r>
      <w:r w:rsidR="00FA55D9">
        <w:rPr>
          <w:color w:val="000000"/>
        </w:rPr>
        <w:t>with the total indirect effect</w:t>
      </w:r>
      <w:r>
        <w:rPr>
          <w:color w:val="000000"/>
        </w:rPr>
        <w:t xml:space="preserve">: </w:t>
      </w:r>
      <w:r w:rsidR="00FA55D9">
        <w:rPr>
          <w:color w:val="000000"/>
        </w:rPr>
        <w:t xml:space="preserve">Five times in </w:t>
      </w:r>
      <w:r w:rsidR="00371498">
        <w:rPr>
          <w:color w:val="000000"/>
        </w:rPr>
        <w:t>Tables 7 through 10</w:t>
      </w:r>
      <w:r w:rsidR="00FA55D9">
        <w:rPr>
          <w:color w:val="000000"/>
        </w:rPr>
        <w:t xml:space="preserve">, the total indirect effect is not significantly different from zero (indicated by a confidence interval that contains zero), but the other seven times it is significantly different from zero (indicated by a confidence interval that excludes zero). </w:t>
      </w:r>
      <w:r w:rsidR="00FA55D9">
        <w:t xml:space="preserve">The conclusions reached about the specific indirect effects, on the other hand, are always the same regardless of the analysis conducted: The specific indirect effect through wave 2 </w:t>
      </w:r>
      <w:r w:rsidR="00161ABD">
        <w:t>ethnic</w:t>
      </w:r>
      <w:r w:rsidR="00FA55D9">
        <w:t xml:space="preserve"> private regard is always found to significantly differ from zero, and the other two specific indirect effects are never significant.</w:t>
      </w:r>
    </w:p>
    <w:p w14:paraId="7EE3A581" w14:textId="7ABB5EAA" w:rsidR="00AB6740" w:rsidRDefault="00AB6740" w:rsidP="00DF3A3F">
      <w:pPr>
        <w:spacing w:line="480" w:lineRule="auto"/>
        <w:rPr>
          <w:color w:val="000000"/>
        </w:rPr>
      </w:pPr>
    </w:p>
    <w:p w14:paraId="012BA8F5" w14:textId="77777777" w:rsidR="00371498" w:rsidRPr="00A6344A" w:rsidRDefault="00371498" w:rsidP="00DF3A3F">
      <w:pPr>
        <w:spacing w:line="480" w:lineRule="auto"/>
      </w:pPr>
    </w:p>
    <w:p w14:paraId="03B72AF1" w14:textId="77777777" w:rsidR="00DC345C" w:rsidRPr="00BE133F" w:rsidRDefault="00DC345C" w:rsidP="005D2826">
      <w:pPr>
        <w:spacing w:line="480" w:lineRule="auto"/>
      </w:pPr>
    </w:p>
    <w:p w14:paraId="4DFCAE58" w14:textId="77777777" w:rsidR="00E77105" w:rsidRDefault="00E77105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7195128C" w14:textId="512D32A4" w:rsidR="00200D6E" w:rsidRDefault="00200D6E" w:rsidP="005D2826">
      <w:pPr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References</w:t>
      </w:r>
    </w:p>
    <w:p w14:paraId="43725E97" w14:textId="5DB11E3C" w:rsidR="00E20D73" w:rsidRDefault="00E20D73" w:rsidP="00CD797E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  <w:shd w:val="clear" w:color="auto" w:fill="FFFFFF"/>
        </w:rPr>
      </w:pPr>
      <w:proofErr w:type="spellStart"/>
      <w:r w:rsidRPr="00E20D73">
        <w:rPr>
          <w:color w:val="000000"/>
          <w:shd w:val="clear" w:color="auto" w:fill="FFFFFF"/>
        </w:rPr>
        <w:t>Biesanz</w:t>
      </w:r>
      <w:proofErr w:type="spellEnd"/>
      <w:r w:rsidRPr="00E20D73">
        <w:rPr>
          <w:color w:val="000000"/>
          <w:shd w:val="clear" w:color="auto" w:fill="FFFFFF"/>
        </w:rPr>
        <w:t xml:space="preserve">, J. C., Falk, C. F., &amp; </w:t>
      </w:r>
      <w:proofErr w:type="spellStart"/>
      <w:r w:rsidRPr="00E20D73">
        <w:rPr>
          <w:color w:val="000000"/>
          <w:shd w:val="clear" w:color="auto" w:fill="FFFFFF"/>
        </w:rPr>
        <w:t>Savalei</w:t>
      </w:r>
      <w:proofErr w:type="spellEnd"/>
      <w:r w:rsidRPr="00E20D73">
        <w:rPr>
          <w:color w:val="000000"/>
          <w:shd w:val="clear" w:color="auto" w:fill="FFFFFF"/>
        </w:rPr>
        <w:t>, V. (2010). Assessing mediational models: Testing</w:t>
      </w:r>
      <w:r>
        <w:rPr>
          <w:color w:val="000000"/>
          <w:shd w:val="clear" w:color="auto" w:fill="FFFFFF"/>
        </w:rPr>
        <w:t xml:space="preserve"> </w:t>
      </w:r>
      <w:r w:rsidRPr="00E20D73">
        <w:rPr>
          <w:color w:val="000000"/>
          <w:shd w:val="clear" w:color="auto" w:fill="FFFFFF"/>
        </w:rPr>
        <w:t>and interval estimation for indirect effects.</w:t>
      </w:r>
      <w:r>
        <w:rPr>
          <w:color w:val="000000"/>
          <w:shd w:val="clear" w:color="auto" w:fill="FFFFFF"/>
        </w:rPr>
        <w:t xml:space="preserve"> </w:t>
      </w:r>
      <w:r w:rsidRPr="00E20D73">
        <w:rPr>
          <w:i/>
          <w:iCs/>
          <w:color w:val="000000"/>
          <w:shd w:val="clear" w:color="auto" w:fill="FFFFFF"/>
        </w:rPr>
        <w:t>Multivariate Behavioral Research,</w:t>
      </w:r>
      <w:r>
        <w:rPr>
          <w:i/>
          <w:iCs/>
          <w:color w:val="000000"/>
          <w:shd w:val="clear" w:color="auto" w:fill="FFFFFF"/>
        </w:rPr>
        <w:t xml:space="preserve"> </w:t>
      </w:r>
      <w:r w:rsidRPr="00E20D73">
        <w:rPr>
          <w:i/>
          <w:iCs/>
          <w:color w:val="000000"/>
          <w:shd w:val="clear" w:color="auto" w:fill="FFFFFF"/>
        </w:rPr>
        <w:t>45</w:t>
      </w:r>
      <w:r w:rsidRPr="00E20D73">
        <w:rPr>
          <w:color w:val="000000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</w:t>
      </w:r>
      <w:r w:rsidRPr="00E20D73">
        <w:rPr>
          <w:color w:val="000000"/>
          <w:shd w:val="clear" w:color="auto" w:fill="FFFFFF"/>
        </w:rPr>
        <w:t>661–701</w:t>
      </w:r>
      <w:r>
        <w:rPr>
          <w:color w:val="000000"/>
          <w:shd w:val="clear" w:color="auto" w:fill="FFFFFF"/>
        </w:rPr>
        <w:t>.</w:t>
      </w:r>
    </w:p>
    <w:p w14:paraId="17624E57" w14:textId="279C6C22" w:rsidR="006373F1" w:rsidRDefault="00E20D73" w:rsidP="00CD797E">
      <w:pPr>
        <w:pStyle w:val="NormalWeb"/>
        <w:spacing w:before="0" w:beforeAutospacing="0" w:after="0" w:afterAutospacing="0" w:line="480" w:lineRule="auto"/>
        <w:ind w:left="720" w:hanging="720"/>
        <w:rPr>
          <w:bCs/>
        </w:rPr>
      </w:pPr>
      <w:r w:rsidRPr="00E20D73">
        <w:rPr>
          <w:color w:val="000000"/>
          <w:shd w:val="clear" w:color="auto" w:fill="FFFFFF"/>
        </w:rPr>
        <w:t>Chen, D., &amp; Fritz, M. S. (2021). Comparing alternative corrections for bias in the</w:t>
      </w:r>
      <w:r>
        <w:rPr>
          <w:color w:val="000000"/>
          <w:shd w:val="clear" w:color="auto" w:fill="FFFFFF"/>
        </w:rPr>
        <w:t xml:space="preserve"> </w:t>
      </w:r>
      <w:r w:rsidRPr="00E20D73">
        <w:rPr>
          <w:color w:val="000000"/>
          <w:shd w:val="clear" w:color="auto" w:fill="FFFFFF"/>
        </w:rPr>
        <w:t>bias-corrected bootstrap test of mediation.</w:t>
      </w:r>
      <w:r>
        <w:rPr>
          <w:color w:val="000000"/>
          <w:shd w:val="clear" w:color="auto" w:fill="FFFFFF"/>
        </w:rPr>
        <w:t xml:space="preserve"> </w:t>
      </w:r>
      <w:r w:rsidRPr="00E20D73">
        <w:rPr>
          <w:i/>
          <w:iCs/>
          <w:color w:val="000000"/>
          <w:shd w:val="clear" w:color="auto" w:fill="FFFFFF"/>
        </w:rPr>
        <w:t>Evaluation and the Health Professions, 44</w:t>
      </w:r>
      <w:r>
        <w:rPr>
          <w:color w:val="000000"/>
          <w:shd w:val="clear" w:color="auto" w:fill="FFFFFF"/>
        </w:rPr>
        <w:t>(4), 416</w:t>
      </w:r>
      <w:r w:rsidRPr="003E6AE2">
        <w:rPr>
          <w:bCs/>
        </w:rPr>
        <w:t>–</w:t>
      </w:r>
      <w:r>
        <w:rPr>
          <w:bCs/>
        </w:rPr>
        <w:t>427</w:t>
      </w:r>
      <w:r w:rsidR="005254B3">
        <w:rPr>
          <w:bCs/>
        </w:rPr>
        <w:t>.</w:t>
      </w:r>
    </w:p>
    <w:p w14:paraId="7524997C" w14:textId="77777777" w:rsidR="00CD797E" w:rsidRPr="00CD797E" w:rsidRDefault="00CD797E" w:rsidP="00CD797E">
      <w:pPr>
        <w:pStyle w:val="NormalWeb"/>
        <w:spacing w:before="0" w:beforeAutospacing="0" w:after="0" w:afterAutospacing="0" w:line="480" w:lineRule="auto"/>
        <w:rPr>
          <w:bCs/>
        </w:rPr>
      </w:pPr>
      <w:r w:rsidRPr="00CD797E">
        <w:rPr>
          <w:bCs/>
        </w:rPr>
        <w:t xml:space="preserve">Child, D. (2006). </w:t>
      </w:r>
      <w:r w:rsidRPr="00CD797E">
        <w:rPr>
          <w:bCs/>
          <w:i/>
          <w:iCs/>
        </w:rPr>
        <w:t>The essentials of factor analysis</w:t>
      </w:r>
      <w:r w:rsidRPr="00CD797E">
        <w:rPr>
          <w:bCs/>
        </w:rPr>
        <w:t xml:space="preserve"> (3rd ed.). New York, NY: Continuum</w:t>
      </w:r>
    </w:p>
    <w:p w14:paraId="36ED1C0F" w14:textId="18212468" w:rsidR="00CD797E" w:rsidRPr="005352D5" w:rsidRDefault="00CD797E" w:rsidP="00CD797E">
      <w:pPr>
        <w:pStyle w:val="NormalWeb"/>
        <w:spacing w:before="0" w:beforeAutospacing="0" w:after="0" w:afterAutospacing="0" w:line="480" w:lineRule="auto"/>
        <w:ind w:left="720"/>
        <w:rPr>
          <w:bCs/>
        </w:rPr>
      </w:pPr>
      <w:r w:rsidRPr="00CD797E">
        <w:rPr>
          <w:bCs/>
        </w:rPr>
        <w:t>International Publishing Group.</w:t>
      </w:r>
    </w:p>
    <w:p w14:paraId="50CEA513" w14:textId="31640D03" w:rsidR="00947000" w:rsidRDefault="00947000" w:rsidP="005352D5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7940E2">
        <w:rPr>
          <w:color w:val="000000"/>
          <w:shd w:val="clear" w:color="auto" w:fill="FFFFFF"/>
        </w:rPr>
        <w:t>Enders, C. K. (20</w:t>
      </w:r>
      <w:r>
        <w:rPr>
          <w:color w:val="000000"/>
          <w:shd w:val="clear" w:color="auto" w:fill="FFFFFF"/>
        </w:rPr>
        <w:t>22</w:t>
      </w:r>
      <w:r w:rsidRPr="007940E2">
        <w:rPr>
          <w:color w:val="000000"/>
          <w:shd w:val="clear" w:color="auto" w:fill="FFFFFF"/>
        </w:rPr>
        <w:t xml:space="preserve">). </w:t>
      </w:r>
      <w:r w:rsidRPr="007940E2">
        <w:rPr>
          <w:i/>
          <w:iCs/>
          <w:color w:val="000000"/>
          <w:shd w:val="clear" w:color="auto" w:fill="FFFFFF"/>
        </w:rPr>
        <w:t>Applied missing data analysis</w:t>
      </w:r>
      <w:r>
        <w:rPr>
          <w:i/>
          <w:iCs/>
          <w:color w:val="000000"/>
          <w:shd w:val="clear" w:color="auto" w:fill="FFFFFF"/>
        </w:rPr>
        <w:t xml:space="preserve"> 2.0</w:t>
      </w:r>
      <w:r w:rsidRPr="007940E2">
        <w:rPr>
          <w:color w:val="000000"/>
          <w:shd w:val="clear" w:color="auto" w:fill="FFFFFF"/>
        </w:rPr>
        <w:t>. Guilford Press.</w:t>
      </w:r>
    </w:p>
    <w:p w14:paraId="665408C6" w14:textId="587FA101" w:rsidR="006373F1" w:rsidRDefault="006373F1" w:rsidP="005352D5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  <w:shd w:val="clear" w:color="auto" w:fill="FFFFFF"/>
        </w:rPr>
      </w:pPr>
      <w:r w:rsidRPr="006373F1">
        <w:rPr>
          <w:color w:val="000000"/>
          <w:shd w:val="clear" w:color="auto" w:fill="FFFFFF"/>
        </w:rPr>
        <w:t xml:space="preserve">Fritz, M. S., Taylor, A. B., &amp; MacKinnon, D. P. (2012). Explanation of two </w:t>
      </w:r>
      <w:proofErr w:type="spellStart"/>
      <w:r w:rsidRPr="006373F1">
        <w:rPr>
          <w:color w:val="000000"/>
          <w:shd w:val="clear" w:color="auto" w:fill="FFFFFF"/>
        </w:rPr>
        <w:t>anomalousresults</w:t>
      </w:r>
      <w:proofErr w:type="spellEnd"/>
      <w:r w:rsidRPr="006373F1">
        <w:rPr>
          <w:color w:val="000000"/>
          <w:shd w:val="clear" w:color="auto" w:fill="FFFFFF"/>
        </w:rPr>
        <w:t xml:space="preserve"> in statistical mediation analysis.</w:t>
      </w:r>
      <w:r>
        <w:rPr>
          <w:color w:val="000000"/>
          <w:shd w:val="clear" w:color="auto" w:fill="FFFFFF"/>
        </w:rPr>
        <w:t xml:space="preserve"> </w:t>
      </w:r>
      <w:r w:rsidRPr="006373F1">
        <w:rPr>
          <w:i/>
          <w:iCs/>
          <w:color w:val="000000"/>
          <w:shd w:val="clear" w:color="auto" w:fill="FFFFFF"/>
        </w:rPr>
        <w:t>Multivariate Behavioral Research, 47</w:t>
      </w:r>
      <w:r w:rsidRPr="006373F1">
        <w:rPr>
          <w:color w:val="000000"/>
          <w:shd w:val="clear" w:color="auto" w:fill="FFFFFF"/>
        </w:rPr>
        <w:t>(1),</w:t>
      </w:r>
      <w:r>
        <w:rPr>
          <w:color w:val="000000"/>
          <w:shd w:val="clear" w:color="auto" w:fill="FFFFFF"/>
        </w:rPr>
        <w:t xml:space="preserve"> </w:t>
      </w:r>
      <w:r w:rsidRPr="006373F1">
        <w:rPr>
          <w:color w:val="000000"/>
          <w:shd w:val="clear" w:color="auto" w:fill="FFFFFF"/>
        </w:rPr>
        <w:t>61–87</w:t>
      </w:r>
      <w:r>
        <w:rPr>
          <w:color w:val="000000"/>
          <w:shd w:val="clear" w:color="auto" w:fill="FFFFFF"/>
        </w:rPr>
        <w:t>.</w:t>
      </w:r>
    </w:p>
    <w:p w14:paraId="57F0C2AF" w14:textId="77777777" w:rsidR="00A02844" w:rsidRPr="00A02844" w:rsidRDefault="00A02844" w:rsidP="005352D5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A02844">
        <w:rPr>
          <w:color w:val="000000"/>
          <w:shd w:val="clear" w:color="auto" w:fill="FFFFFF"/>
        </w:rPr>
        <w:t>Gelman, A., &amp; Rubin, D. B. (1992). Inference from iterative simulation using multiple</w:t>
      </w:r>
    </w:p>
    <w:p w14:paraId="1F51AA7E" w14:textId="640D5F1C" w:rsidR="00A02844" w:rsidRDefault="00A02844" w:rsidP="005352D5">
      <w:pPr>
        <w:pStyle w:val="NormalWeb"/>
        <w:spacing w:before="0" w:beforeAutospacing="0" w:after="0" w:afterAutospacing="0" w:line="480" w:lineRule="auto"/>
        <w:ind w:left="720"/>
        <w:rPr>
          <w:color w:val="000000"/>
          <w:shd w:val="clear" w:color="auto" w:fill="FFFFFF"/>
        </w:rPr>
      </w:pPr>
      <w:r w:rsidRPr="00A02844">
        <w:rPr>
          <w:color w:val="000000"/>
          <w:shd w:val="clear" w:color="auto" w:fill="FFFFFF"/>
        </w:rPr>
        <w:t xml:space="preserve">sequences. </w:t>
      </w:r>
      <w:r w:rsidRPr="00A02844">
        <w:rPr>
          <w:i/>
          <w:iCs/>
          <w:color w:val="000000"/>
          <w:shd w:val="clear" w:color="auto" w:fill="FFFFFF"/>
        </w:rPr>
        <w:t>Statistical Science, 7</w:t>
      </w:r>
      <w:r w:rsidRPr="00A02844">
        <w:rPr>
          <w:color w:val="000000"/>
          <w:shd w:val="clear" w:color="auto" w:fill="FFFFFF"/>
        </w:rPr>
        <w:t>, 457</w:t>
      </w:r>
      <w:r w:rsidR="00E37DF1" w:rsidRPr="003E6AE2">
        <w:rPr>
          <w:bCs/>
        </w:rPr>
        <w:t>–</w:t>
      </w:r>
      <w:r w:rsidRPr="00A02844">
        <w:rPr>
          <w:color w:val="000000"/>
          <w:shd w:val="clear" w:color="auto" w:fill="FFFFFF"/>
        </w:rPr>
        <w:t>472. doi:10.1214/ss/1177011136</w:t>
      </w:r>
    </w:p>
    <w:p w14:paraId="70068EDC" w14:textId="304ABC3A" w:rsidR="00A26BCA" w:rsidRDefault="00A26BCA" w:rsidP="00A26BCA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  <w:shd w:val="clear" w:color="auto" w:fill="FFFFFF"/>
        </w:rPr>
      </w:pPr>
      <w:r w:rsidRPr="00A26BCA">
        <w:rPr>
          <w:color w:val="000000"/>
          <w:shd w:val="clear" w:color="auto" w:fill="FFFFFF"/>
        </w:rPr>
        <w:t xml:space="preserve">Honaker, J., King, G., &amp; Blackwell, M. (2011). Amelia II: A </w:t>
      </w:r>
      <w:r w:rsidR="00741984">
        <w:rPr>
          <w:color w:val="000000"/>
          <w:shd w:val="clear" w:color="auto" w:fill="FFFFFF"/>
        </w:rPr>
        <w:t>p</w:t>
      </w:r>
      <w:r w:rsidRPr="00A26BCA">
        <w:rPr>
          <w:color w:val="000000"/>
          <w:shd w:val="clear" w:color="auto" w:fill="FFFFFF"/>
        </w:rPr>
        <w:t xml:space="preserve">rogram for </w:t>
      </w:r>
      <w:r w:rsidR="00741984">
        <w:rPr>
          <w:color w:val="000000"/>
          <w:shd w:val="clear" w:color="auto" w:fill="FFFFFF"/>
        </w:rPr>
        <w:t>m</w:t>
      </w:r>
      <w:r w:rsidRPr="00A26BCA">
        <w:rPr>
          <w:color w:val="000000"/>
          <w:shd w:val="clear" w:color="auto" w:fill="FFFFFF"/>
        </w:rPr>
        <w:t xml:space="preserve">issing </w:t>
      </w:r>
      <w:r w:rsidR="00741984">
        <w:rPr>
          <w:color w:val="000000"/>
          <w:shd w:val="clear" w:color="auto" w:fill="FFFFFF"/>
        </w:rPr>
        <w:t>d</w:t>
      </w:r>
      <w:r w:rsidRPr="00A26BCA">
        <w:rPr>
          <w:color w:val="000000"/>
          <w:shd w:val="clear" w:color="auto" w:fill="FFFFFF"/>
        </w:rPr>
        <w:t>ata. </w:t>
      </w:r>
      <w:r w:rsidRPr="00A26BCA">
        <w:rPr>
          <w:i/>
          <w:iCs/>
          <w:color w:val="000000"/>
          <w:shd w:val="clear" w:color="auto" w:fill="FFFFFF"/>
        </w:rPr>
        <w:t>Journal of Statistical Software</w:t>
      </w:r>
      <w:r w:rsidRPr="00A26BCA">
        <w:rPr>
          <w:color w:val="000000"/>
          <w:shd w:val="clear" w:color="auto" w:fill="FFFFFF"/>
        </w:rPr>
        <w:t>, </w:t>
      </w:r>
      <w:r w:rsidRPr="00A26BCA">
        <w:rPr>
          <w:i/>
          <w:iCs/>
          <w:color w:val="000000"/>
          <w:shd w:val="clear" w:color="auto" w:fill="FFFFFF"/>
        </w:rPr>
        <w:t>45</w:t>
      </w:r>
      <w:r w:rsidRPr="00A26BCA">
        <w:rPr>
          <w:color w:val="000000"/>
          <w:shd w:val="clear" w:color="auto" w:fill="FFFFFF"/>
        </w:rPr>
        <w:t>(7), 1–47.</w:t>
      </w:r>
    </w:p>
    <w:p w14:paraId="251E5F6B" w14:textId="2BC8834A" w:rsidR="00947000" w:rsidRPr="00387A68" w:rsidRDefault="00947000" w:rsidP="005352D5">
      <w:pPr>
        <w:pStyle w:val="NormalWeb"/>
        <w:spacing w:before="0" w:beforeAutospacing="0" w:after="0" w:afterAutospacing="0" w:line="480" w:lineRule="auto"/>
        <w:rPr>
          <w:color w:val="000000"/>
          <w:shd w:val="clear" w:color="auto" w:fill="FFFFFF"/>
        </w:rPr>
      </w:pPr>
      <w:r w:rsidRPr="00387A68">
        <w:rPr>
          <w:color w:val="000000"/>
          <w:shd w:val="clear" w:color="auto" w:fill="FFFFFF"/>
        </w:rPr>
        <w:t>Keller, B. T., &amp; Enders, C. K. (202</w:t>
      </w:r>
      <w:r w:rsidR="00D42580">
        <w:rPr>
          <w:color w:val="000000"/>
          <w:shd w:val="clear" w:color="auto" w:fill="FFFFFF"/>
        </w:rPr>
        <w:t>2</w:t>
      </w:r>
      <w:r w:rsidRPr="00387A68">
        <w:rPr>
          <w:color w:val="000000"/>
          <w:shd w:val="clear" w:color="auto" w:fill="FFFFFF"/>
        </w:rPr>
        <w:t xml:space="preserve">). </w:t>
      </w:r>
      <w:r w:rsidRPr="00D567E4">
        <w:rPr>
          <w:i/>
          <w:iCs/>
          <w:color w:val="000000"/>
          <w:shd w:val="clear" w:color="auto" w:fill="FFFFFF"/>
        </w:rPr>
        <w:t>Blimp user’s guide (Version 3)</w:t>
      </w:r>
      <w:r w:rsidRPr="00387A68">
        <w:rPr>
          <w:color w:val="000000"/>
          <w:shd w:val="clear" w:color="auto" w:fill="FFFFFF"/>
        </w:rPr>
        <w:t>. Retrieved from</w:t>
      </w:r>
    </w:p>
    <w:p w14:paraId="61F96178" w14:textId="7640A78B" w:rsidR="005D2826" w:rsidRDefault="00000000" w:rsidP="005352D5">
      <w:pPr>
        <w:pStyle w:val="NormalWeb"/>
        <w:spacing w:before="0" w:beforeAutospacing="0" w:after="0" w:afterAutospacing="0" w:line="480" w:lineRule="auto"/>
        <w:ind w:left="720"/>
        <w:rPr>
          <w:color w:val="000000"/>
          <w:shd w:val="clear" w:color="auto" w:fill="FFFFFF"/>
        </w:rPr>
      </w:pPr>
      <w:hyperlink r:id="rId17" w:history="1">
        <w:r w:rsidR="005D2826" w:rsidRPr="0003656A">
          <w:rPr>
            <w:rStyle w:val="Hyperlink"/>
            <w:shd w:val="clear" w:color="auto" w:fill="FFFFFF"/>
          </w:rPr>
          <w:t>www.appliedmissingdata.com/multilevel-imputation.html</w:t>
        </w:r>
      </w:hyperlink>
    </w:p>
    <w:p w14:paraId="143FD77B" w14:textId="11380209" w:rsidR="005D2826" w:rsidRDefault="005D2826" w:rsidP="005352D5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  <w:shd w:val="clear" w:color="auto" w:fill="FFFFFF"/>
        </w:rPr>
      </w:pPr>
      <w:r w:rsidRPr="005D2826">
        <w:rPr>
          <w:color w:val="000000"/>
          <w:shd w:val="clear" w:color="auto" w:fill="FFFFFF"/>
        </w:rPr>
        <w:t>Little, R. J. A., &amp; Rubin, D. B. (1987).</w:t>
      </w:r>
      <w:r w:rsidR="00BD7002">
        <w:rPr>
          <w:color w:val="000000"/>
          <w:shd w:val="clear" w:color="auto" w:fill="FFFFFF"/>
        </w:rPr>
        <w:t xml:space="preserve"> </w:t>
      </w:r>
      <w:r w:rsidRPr="00BD7002">
        <w:rPr>
          <w:i/>
          <w:iCs/>
          <w:color w:val="000000"/>
          <w:shd w:val="clear" w:color="auto" w:fill="FFFFFF"/>
        </w:rPr>
        <w:t>Statistical analysis with missing data</w:t>
      </w:r>
      <w:r w:rsidR="00BD7002" w:rsidRPr="00BD7002">
        <w:rPr>
          <w:i/>
          <w:iCs/>
          <w:color w:val="000000"/>
          <w:shd w:val="clear" w:color="auto" w:fill="FFFFFF"/>
        </w:rPr>
        <w:t xml:space="preserve"> </w:t>
      </w:r>
      <w:r w:rsidRPr="00BD7002">
        <w:rPr>
          <w:i/>
          <w:iCs/>
          <w:color w:val="000000"/>
          <w:shd w:val="clear" w:color="auto" w:fill="FFFFFF"/>
        </w:rPr>
        <w:t>(1st)</w:t>
      </w:r>
      <w:r w:rsidRPr="005D2826">
        <w:rPr>
          <w:color w:val="000000"/>
          <w:shd w:val="clear" w:color="auto" w:fill="FFFFFF"/>
        </w:rPr>
        <w:t>. New</w:t>
      </w:r>
      <w:r w:rsidR="00BD7002">
        <w:rPr>
          <w:color w:val="000000"/>
          <w:shd w:val="clear" w:color="auto" w:fill="FFFFFF"/>
        </w:rPr>
        <w:t xml:space="preserve"> </w:t>
      </w:r>
      <w:r w:rsidRPr="005D2826">
        <w:rPr>
          <w:color w:val="000000"/>
          <w:shd w:val="clear" w:color="auto" w:fill="FFFFFF"/>
        </w:rPr>
        <w:t>York: Wiley</w:t>
      </w:r>
      <w:r>
        <w:rPr>
          <w:color w:val="000000"/>
          <w:shd w:val="clear" w:color="auto" w:fill="FFFFFF"/>
        </w:rPr>
        <w:t>.</w:t>
      </w:r>
    </w:p>
    <w:p w14:paraId="2CB2CCBE" w14:textId="4262CB69" w:rsidR="00AB6B9B" w:rsidRPr="00947000" w:rsidRDefault="00AB6B9B" w:rsidP="005352D5">
      <w:pPr>
        <w:pStyle w:val="NormalWeb"/>
        <w:spacing w:before="0" w:beforeAutospacing="0" w:after="0" w:afterAutospacing="0" w:line="480" w:lineRule="auto"/>
        <w:ind w:left="720" w:hanging="720"/>
        <w:rPr>
          <w:color w:val="000000"/>
          <w:shd w:val="clear" w:color="auto" w:fill="FFFFFF"/>
        </w:rPr>
      </w:pPr>
      <w:r w:rsidRPr="00AB6B9B">
        <w:rPr>
          <w:color w:val="000000"/>
          <w:shd w:val="clear" w:color="auto" w:fill="FFFFFF"/>
        </w:rPr>
        <w:t>R Core Team (202</w:t>
      </w:r>
      <w:r w:rsidR="00D567E4">
        <w:rPr>
          <w:color w:val="000000"/>
          <w:shd w:val="clear" w:color="auto" w:fill="FFFFFF"/>
        </w:rPr>
        <w:t>1</w:t>
      </w:r>
      <w:r w:rsidRPr="00AB6B9B">
        <w:rPr>
          <w:color w:val="000000"/>
          <w:shd w:val="clear" w:color="auto" w:fill="FFFFFF"/>
        </w:rPr>
        <w:t xml:space="preserve">). </w:t>
      </w:r>
      <w:r w:rsidRPr="00AB6B9B">
        <w:rPr>
          <w:i/>
          <w:iCs/>
          <w:color w:val="000000"/>
          <w:shd w:val="clear" w:color="auto" w:fill="FFFFFF"/>
        </w:rPr>
        <w:t>R: A langu</w:t>
      </w:r>
      <w:r w:rsidR="00D34E97">
        <w:rPr>
          <w:i/>
          <w:iCs/>
          <w:color w:val="000000"/>
          <w:shd w:val="clear" w:color="auto" w:fill="FFFFFF"/>
        </w:rPr>
        <w:t>age</w:t>
      </w:r>
      <w:r w:rsidRPr="00AB6B9B">
        <w:rPr>
          <w:i/>
          <w:iCs/>
          <w:color w:val="000000"/>
          <w:shd w:val="clear" w:color="auto" w:fill="FFFFFF"/>
        </w:rPr>
        <w:t xml:space="preserve"> and environment for statistical computing</w:t>
      </w:r>
      <w:r w:rsidRPr="00AB6B9B">
        <w:rPr>
          <w:color w:val="000000"/>
          <w:shd w:val="clear" w:color="auto" w:fill="FFFFFF"/>
        </w:rPr>
        <w:t>. R</w:t>
      </w:r>
      <w:r>
        <w:rPr>
          <w:color w:val="000000"/>
          <w:shd w:val="clear" w:color="auto" w:fill="FFFFFF"/>
        </w:rPr>
        <w:t xml:space="preserve"> </w:t>
      </w:r>
      <w:r w:rsidRPr="00AB6B9B">
        <w:rPr>
          <w:color w:val="000000"/>
          <w:shd w:val="clear" w:color="auto" w:fill="FFFFFF"/>
        </w:rPr>
        <w:t>Foundation for Statistical Computing. Vienna, Austria. Retrieved from</w:t>
      </w:r>
      <w:r>
        <w:rPr>
          <w:color w:val="000000"/>
          <w:shd w:val="clear" w:color="auto" w:fill="FFFFFF"/>
        </w:rPr>
        <w:t xml:space="preserve"> </w:t>
      </w:r>
      <w:hyperlink r:id="rId18" w:history="1">
        <w:r w:rsidR="00D567E4" w:rsidRPr="00AB6B9B">
          <w:rPr>
            <w:rStyle w:val="Hyperlink"/>
            <w:shd w:val="clear" w:color="auto" w:fill="FFFFFF"/>
          </w:rPr>
          <w:t>https://www.R-project.org/</w:t>
        </w:r>
      </w:hyperlink>
    </w:p>
    <w:p w14:paraId="00A6802C" w14:textId="50236993" w:rsidR="00200D6E" w:rsidRDefault="00200D6E" w:rsidP="005352D5">
      <w:pPr>
        <w:spacing w:line="480" w:lineRule="auto"/>
        <w:ind w:left="720" w:hanging="720"/>
        <w:rPr>
          <w:bCs/>
        </w:rPr>
      </w:pPr>
      <w:proofErr w:type="spellStart"/>
      <w:r w:rsidRPr="00DE1150">
        <w:rPr>
          <w:bCs/>
        </w:rPr>
        <w:t>Raykov</w:t>
      </w:r>
      <w:proofErr w:type="spellEnd"/>
      <w:r w:rsidRPr="00DE1150">
        <w:rPr>
          <w:bCs/>
        </w:rPr>
        <w:t>, T.</w:t>
      </w:r>
      <w:r>
        <w:rPr>
          <w:bCs/>
        </w:rPr>
        <w:t>,</w:t>
      </w:r>
      <w:r w:rsidRPr="00DE1150">
        <w:rPr>
          <w:bCs/>
        </w:rPr>
        <w:t xml:space="preserve"> &amp; West, B. T. (2016). On enhancing plausibility of the missing at random assumption in incomplete data analyses via evaluation of response-auxiliary variable </w:t>
      </w:r>
      <w:r w:rsidRPr="00DE1150">
        <w:rPr>
          <w:bCs/>
        </w:rPr>
        <w:lastRenderedPageBreak/>
        <w:t>correlations</w:t>
      </w:r>
      <w:r w:rsidRPr="00DE1150">
        <w:rPr>
          <w:bCs/>
          <w:i/>
        </w:rPr>
        <w:t>. Structural Equation Modeling: A Multidisciplinary Journal, 23</w:t>
      </w:r>
      <w:r w:rsidRPr="00DE1150">
        <w:rPr>
          <w:bCs/>
        </w:rPr>
        <w:t>(1), 45</w:t>
      </w:r>
      <w:r w:rsidR="00E37DF1" w:rsidRPr="003E6AE2">
        <w:rPr>
          <w:bCs/>
        </w:rPr>
        <w:t>–</w:t>
      </w:r>
      <w:r w:rsidRPr="00DE1150">
        <w:rPr>
          <w:bCs/>
        </w:rPr>
        <w:t>53. DOI: 10.1080/10705511.2014.937848</w:t>
      </w:r>
    </w:p>
    <w:p w14:paraId="2F010069" w14:textId="16C3833C" w:rsidR="005D2826" w:rsidRDefault="005D2826" w:rsidP="005352D5">
      <w:pPr>
        <w:spacing w:line="480" w:lineRule="auto"/>
        <w:ind w:left="720" w:hanging="720"/>
        <w:rPr>
          <w:bCs/>
        </w:rPr>
      </w:pPr>
      <w:r w:rsidRPr="005D2826">
        <w:rPr>
          <w:bCs/>
        </w:rPr>
        <w:t>Rubin, D. B. (1976). Inference and missing data.</w:t>
      </w:r>
      <w:r>
        <w:rPr>
          <w:bCs/>
        </w:rPr>
        <w:t xml:space="preserve"> </w:t>
      </w:r>
      <w:proofErr w:type="spellStart"/>
      <w:r w:rsidRPr="005D2826">
        <w:rPr>
          <w:bCs/>
          <w:i/>
          <w:iCs/>
        </w:rPr>
        <w:t>Biometrika</w:t>
      </w:r>
      <w:proofErr w:type="spellEnd"/>
      <w:r w:rsidRPr="005D2826">
        <w:rPr>
          <w:bCs/>
          <w:i/>
          <w:iCs/>
        </w:rPr>
        <w:t>, 63</w:t>
      </w:r>
      <w:r w:rsidRPr="005D2826">
        <w:rPr>
          <w:bCs/>
        </w:rPr>
        <w:t>, 581–592.</w:t>
      </w:r>
    </w:p>
    <w:p w14:paraId="658E5F46" w14:textId="0C08D365" w:rsidR="003E6AE2" w:rsidRDefault="003E6AE2" w:rsidP="005352D5">
      <w:pPr>
        <w:spacing w:line="480" w:lineRule="auto"/>
        <w:ind w:left="720" w:hanging="720"/>
        <w:rPr>
          <w:bCs/>
        </w:rPr>
      </w:pPr>
      <w:r w:rsidRPr="003E6AE2">
        <w:rPr>
          <w:bCs/>
        </w:rPr>
        <w:t xml:space="preserve">Rubin, D. B. (1987). </w:t>
      </w:r>
      <w:r w:rsidRPr="003E6AE2">
        <w:rPr>
          <w:bCs/>
          <w:i/>
          <w:iCs/>
        </w:rPr>
        <w:t>Multiple imputation for nonresponse in surveys</w:t>
      </w:r>
      <w:r w:rsidRPr="003E6AE2">
        <w:rPr>
          <w:bCs/>
        </w:rPr>
        <w:t>. New York: Wiley.</w:t>
      </w:r>
    </w:p>
    <w:p w14:paraId="49A277EC" w14:textId="2E39805F" w:rsidR="009E6BBA" w:rsidRDefault="009E6BBA" w:rsidP="005352D5">
      <w:pPr>
        <w:spacing w:line="480" w:lineRule="auto"/>
        <w:ind w:left="720" w:hanging="720"/>
        <w:rPr>
          <w:bCs/>
        </w:rPr>
      </w:pPr>
      <w:proofErr w:type="spellStart"/>
      <w:r>
        <w:rPr>
          <w:bCs/>
        </w:rPr>
        <w:t>S</w:t>
      </w:r>
      <w:r w:rsidRPr="009E6BBA">
        <w:rPr>
          <w:bCs/>
        </w:rPr>
        <w:t>chomaker</w:t>
      </w:r>
      <w:proofErr w:type="spellEnd"/>
      <w:r w:rsidRPr="009E6BBA">
        <w:rPr>
          <w:bCs/>
        </w:rPr>
        <w:t xml:space="preserve">, M., &amp; </w:t>
      </w:r>
      <w:proofErr w:type="spellStart"/>
      <w:r w:rsidRPr="009E6BBA">
        <w:rPr>
          <w:bCs/>
        </w:rPr>
        <w:t>Heumann</w:t>
      </w:r>
      <w:proofErr w:type="spellEnd"/>
      <w:r w:rsidRPr="009E6BBA">
        <w:rPr>
          <w:bCs/>
        </w:rPr>
        <w:t>, C. (2018). Bootstrap inference when using multiple imputation. </w:t>
      </w:r>
      <w:r w:rsidRPr="009E6BBA">
        <w:rPr>
          <w:bCs/>
          <w:i/>
          <w:iCs/>
        </w:rPr>
        <w:t xml:space="preserve">Statistics in </w:t>
      </w:r>
      <w:r>
        <w:rPr>
          <w:bCs/>
          <w:i/>
          <w:iCs/>
        </w:rPr>
        <w:t>M</w:t>
      </w:r>
      <w:r w:rsidRPr="009E6BBA">
        <w:rPr>
          <w:bCs/>
          <w:i/>
          <w:iCs/>
        </w:rPr>
        <w:t>edicine</w:t>
      </w:r>
      <w:r w:rsidRPr="009E6BBA">
        <w:rPr>
          <w:bCs/>
        </w:rPr>
        <w:t>, </w:t>
      </w:r>
      <w:r w:rsidRPr="009E6BBA">
        <w:rPr>
          <w:bCs/>
          <w:i/>
          <w:iCs/>
        </w:rPr>
        <w:t>37</w:t>
      </w:r>
      <w:r w:rsidRPr="009E6BBA">
        <w:rPr>
          <w:bCs/>
        </w:rPr>
        <w:t>(14), 2252–2266.</w:t>
      </w:r>
    </w:p>
    <w:p w14:paraId="35DAEE5A" w14:textId="77777777" w:rsidR="00CD797E" w:rsidRPr="00CD797E" w:rsidRDefault="00CD797E" w:rsidP="00CD797E">
      <w:pPr>
        <w:spacing w:line="480" w:lineRule="auto"/>
        <w:ind w:left="720" w:hanging="720"/>
        <w:rPr>
          <w:bCs/>
        </w:rPr>
      </w:pPr>
      <w:proofErr w:type="spellStart"/>
      <w:r w:rsidRPr="00CD797E">
        <w:rPr>
          <w:bCs/>
        </w:rPr>
        <w:t>Tabachnick</w:t>
      </w:r>
      <w:proofErr w:type="spellEnd"/>
      <w:r w:rsidRPr="00CD797E">
        <w:rPr>
          <w:bCs/>
        </w:rPr>
        <w:t xml:space="preserve">, B. G., &amp; </w:t>
      </w:r>
      <w:proofErr w:type="spellStart"/>
      <w:r w:rsidRPr="00CD797E">
        <w:rPr>
          <w:bCs/>
        </w:rPr>
        <w:t>Fidell</w:t>
      </w:r>
      <w:proofErr w:type="spellEnd"/>
      <w:r w:rsidRPr="00CD797E">
        <w:rPr>
          <w:bCs/>
        </w:rPr>
        <w:t xml:space="preserve">, L. S. (2007). </w:t>
      </w:r>
      <w:r w:rsidRPr="00CD797E">
        <w:rPr>
          <w:bCs/>
          <w:i/>
          <w:iCs/>
        </w:rPr>
        <w:t>Using multivariate statistics</w:t>
      </w:r>
      <w:r w:rsidRPr="00CD797E">
        <w:rPr>
          <w:bCs/>
        </w:rPr>
        <w:t xml:space="preserve"> (7th Edition). Pearson.</w:t>
      </w:r>
    </w:p>
    <w:p w14:paraId="6EFE8929" w14:textId="2AF6C7AA" w:rsidR="00CD797E" w:rsidRDefault="00CD797E" w:rsidP="00CD797E">
      <w:pPr>
        <w:spacing w:line="480" w:lineRule="auto"/>
        <w:ind w:left="720"/>
        <w:rPr>
          <w:bCs/>
        </w:rPr>
      </w:pPr>
      <w:r w:rsidRPr="00CD797E">
        <w:rPr>
          <w:bCs/>
        </w:rPr>
        <w:t>https://www.pearsonhighered.com/assets/preface/0/1/3/4/0134790545.pdf</w:t>
      </w:r>
    </w:p>
    <w:p w14:paraId="29228C5E" w14:textId="3C15DA77" w:rsidR="00645F28" w:rsidRDefault="00645F28" w:rsidP="005352D5">
      <w:pPr>
        <w:spacing w:line="480" w:lineRule="auto"/>
        <w:ind w:left="720" w:hanging="720"/>
        <w:rPr>
          <w:bCs/>
        </w:rPr>
      </w:pPr>
      <w:r w:rsidRPr="00645F28">
        <w:rPr>
          <w:bCs/>
        </w:rPr>
        <w:t>Valente, M. J., &amp; MacKinnon, D. P. (2017). Comparing models of change to estimate the mediated effect in the pretest-posttest control group design. </w:t>
      </w:r>
      <w:r w:rsidRPr="00645F28">
        <w:rPr>
          <w:bCs/>
          <w:i/>
          <w:iCs/>
        </w:rPr>
        <w:t xml:space="preserve">Structural </w:t>
      </w:r>
      <w:r>
        <w:rPr>
          <w:bCs/>
          <w:i/>
          <w:iCs/>
        </w:rPr>
        <w:t>E</w:t>
      </w:r>
      <w:r w:rsidRPr="00645F28">
        <w:rPr>
          <w:bCs/>
          <w:i/>
          <w:iCs/>
        </w:rPr>
        <w:t xml:space="preserve">quation </w:t>
      </w:r>
      <w:r>
        <w:rPr>
          <w:bCs/>
          <w:i/>
          <w:iCs/>
        </w:rPr>
        <w:t>M</w:t>
      </w:r>
      <w:r w:rsidRPr="00645F28">
        <w:rPr>
          <w:bCs/>
          <w:i/>
          <w:iCs/>
        </w:rPr>
        <w:t xml:space="preserve">odeling: </w:t>
      </w:r>
      <w:r>
        <w:rPr>
          <w:bCs/>
          <w:i/>
          <w:iCs/>
        </w:rPr>
        <w:t>A</w:t>
      </w:r>
      <w:r w:rsidRPr="00645F28">
        <w:rPr>
          <w:bCs/>
          <w:i/>
          <w:iCs/>
        </w:rPr>
        <w:t xml:space="preserve"> </w:t>
      </w:r>
      <w:r>
        <w:rPr>
          <w:bCs/>
          <w:i/>
          <w:iCs/>
        </w:rPr>
        <w:t>M</w:t>
      </w:r>
      <w:r w:rsidRPr="00645F28">
        <w:rPr>
          <w:bCs/>
          <w:i/>
          <w:iCs/>
        </w:rPr>
        <w:t xml:space="preserve">ultidisciplinary </w:t>
      </w:r>
      <w:r>
        <w:rPr>
          <w:bCs/>
          <w:i/>
          <w:iCs/>
        </w:rPr>
        <w:t>J</w:t>
      </w:r>
      <w:r w:rsidRPr="00645F28">
        <w:rPr>
          <w:bCs/>
          <w:i/>
          <w:iCs/>
        </w:rPr>
        <w:t>ournal</w:t>
      </w:r>
      <w:r w:rsidRPr="00645F28">
        <w:rPr>
          <w:bCs/>
        </w:rPr>
        <w:t>, </w:t>
      </w:r>
      <w:r w:rsidRPr="00645F28">
        <w:rPr>
          <w:bCs/>
          <w:i/>
          <w:iCs/>
        </w:rPr>
        <w:t>24</w:t>
      </w:r>
      <w:r w:rsidRPr="00645F28">
        <w:rPr>
          <w:bCs/>
        </w:rPr>
        <w:t>(3), 428–450.</w:t>
      </w:r>
    </w:p>
    <w:p w14:paraId="1AE9E2E4" w14:textId="77777777" w:rsidR="002702A2" w:rsidRPr="002702A2" w:rsidRDefault="002702A2" w:rsidP="002702A2">
      <w:pPr>
        <w:spacing w:line="480" w:lineRule="auto"/>
        <w:ind w:left="720" w:hanging="720"/>
        <w:rPr>
          <w:bCs/>
        </w:rPr>
      </w:pPr>
      <w:r w:rsidRPr="002702A2">
        <w:rPr>
          <w:bCs/>
        </w:rPr>
        <w:t xml:space="preserve">van </w:t>
      </w:r>
      <w:proofErr w:type="spellStart"/>
      <w:r w:rsidRPr="002702A2">
        <w:rPr>
          <w:bCs/>
        </w:rPr>
        <w:t>Buuren</w:t>
      </w:r>
      <w:proofErr w:type="spellEnd"/>
      <w:r w:rsidRPr="002702A2">
        <w:rPr>
          <w:bCs/>
        </w:rPr>
        <w:t xml:space="preserve">, S., &amp; </w:t>
      </w:r>
      <w:proofErr w:type="spellStart"/>
      <w:r w:rsidRPr="002702A2">
        <w:rPr>
          <w:bCs/>
        </w:rPr>
        <w:t>Groothuis</w:t>
      </w:r>
      <w:proofErr w:type="spellEnd"/>
      <w:r w:rsidRPr="002702A2">
        <w:rPr>
          <w:bCs/>
        </w:rPr>
        <w:t>–</w:t>
      </w:r>
      <w:proofErr w:type="spellStart"/>
      <w:r w:rsidRPr="002702A2">
        <w:rPr>
          <w:bCs/>
        </w:rPr>
        <w:t>Oudshoorn</w:t>
      </w:r>
      <w:proofErr w:type="spellEnd"/>
      <w:r w:rsidRPr="002702A2">
        <w:rPr>
          <w:bCs/>
        </w:rPr>
        <w:t>, K. (2011). MICE: Multivariate imputation by</w:t>
      </w:r>
    </w:p>
    <w:p w14:paraId="72CCCD72" w14:textId="1498E4EF" w:rsidR="002702A2" w:rsidRDefault="002702A2" w:rsidP="002702A2">
      <w:pPr>
        <w:spacing w:line="480" w:lineRule="auto"/>
        <w:ind w:left="720"/>
        <w:rPr>
          <w:bCs/>
        </w:rPr>
      </w:pPr>
      <w:r w:rsidRPr="002702A2">
        <w:rPr>
          <w:bCs/>
        </w:rPr>
        <w:t xml:space="preserve">chained equations in R. </w:t>
      </w:r>
      <w:r w:rsidRPr="002702A2">
        <w:rPr>
          <w:bCs/>
          <w:i/>
          <w:iCs/>
        </w:rPr>
        <w:t>Journal of Statistical Software, 45</w:t>
      </w:r>
      <w:r w:rsidR="005B7A8A">
        <w:rPr>
          <w:bCs/>
        </w:rPr>
        <w:t>(3)</w:t>
      </w:r>
      <w:r w:rsidRPr="002702A2">
        <w:rPr>
          <w:bCs/>
        </w:rPr>
        <w:t>, 1–67.</w:t>
      </w:r>
    </w:p>
    <w:p w14:paraId="58DF99BE" w14:textId="1A7D65E4" w:rsidR="009E314D" w:rsidRDefault="009E314D" w:rsidP="005352D5">
      <w:pPr>
        <w:spacing w:line="480" w:lineRule="auto"/>
        <w:ind w:left="720" w:hanging="720"/>
        <w:rPr>
          <w:bCs/>
        </w:rPr>
      </w:pPr>
      <w:r w:rsidRPr="009E314D">
        <w:rPr>
          <w:bCs/>
        </w:rPr>
        <w:t>Wu, W., &amp; J</w:t>
      </w:r>
      <w:r w:rsidR="008D10C7">
        <w:rPr>
          <w:bCs/>
        </w:rPr>
        <w:t>ia</w:t>
      </w:r>
      <w:r w:rsidRPr="009E314D">
        <w:rPr>
          <w:bCs/>
        </w:rPr>
        <w:t>, F. (2013). A new procedure to test mediation with missing data through</w:t>
      </w:r>
      <w:r>
        <w:rPr>
          <w:bCs/>
        </w:rPr>
        <w:t xml:space="preserve"> </w:t>
      </w:r>
      <w:r w:rsidRPr="009E314D">
        <w:rPr>
          <w:bCs/>
        </w:rPr>
        <w:t>nonparametric bootstrapping and multiple imputation.</w:t>
      </w:r>
      <w:r>
        <w:rPr>
          <w:bCs/>
        </w:rPr>
        <w:t xml:space="preserve"> </w:t>
      </w:r>
      <w:r w:rsidRPr="009E314D">
        <w:rPr>
          <w:bCs/>
          <w:i/>
          <w:iCs/>
        </w:rPr>
        <w:t>Multivariate Behavioral Research,</w:t>
      </w:r>
      <w:r>
        <w:rPr>
          <w:bCs/>
          <w:i/>
          <w:iCs/>
        </w:rPr>
        <w:t xml:space="preserve"> </w:t>
      </w:r>
      <w:r w:rsidRPr="009E314D">
        <w:rPr>
          <w:bCs/>
          <w:i/>
          <w:iCs/>
        </w:rPr>
        <w:t>48</w:t>
      </w:r>
      <w:r w:rsidRPr="009E314D">
        <w:rPr>
          <w:bCs/>
        </w:rPr>
        <w:t>(5), 663–691.</w:t>
      </w:r>
    </w:p>
    <w:p w14:paraId="7CBFD8B4" w14:textId="77777777" w:rsidR="00536810" w:rsidRPr="00536810" w:rsidRDefault="00536810" w:rsidP="005352D5">
      <w:pPr>
        <w:spacing w:line="480" w:lineRule="auto"/>
        <w:ind w:left="720" w:hanging="720"/>
        <w:rPr>
          <w:bCs/>
        </w:rPr>
      </w:pPr>
      <w:r w:rsidRPr="00536810">
        <w:rPr>
          <w:bCs/>
        </w:rPr>
        <w:t>Yeo, I. K., &amp; Johnson, R. A. (2000). A new family of power transformations to improve</w:t>
      </w:r>
    </w:p>
    <w:p w14:paraId="3B54EB1F" w14:textId="36BE90D9" w:rsidR="00536810" w:rsidRDefault="00536810" w:rsidP="005352D5">
      <w:pPr>
        <w:spacing w:line="480" w:lineRule="auto"/>
        <w:ind w:left="720"/>
        <w:rPr>
          <w:bCs/>
        </w:rPr>
      </w:pPr>
      <w:r w:rsidRPr="00536810">
        <w:rPr>
          <w:bCs/>
        </w:rPr>
        <w:t xml:space="preserve">normality or symmetry. </w:t>
      </w:r>
      <w:proofErr w:type="spellStart"/>
      <w:r w:rsidRPr="00536810">
        <w:rPr>
          <w:bCs/>
          <w:i/>
          <w:iCs/>
        </w:rPr>
        <w:t>Biometrika</w:t>
      </w:r>
      <w:proofErr w:type="spellEnd"/>
      <w:r w:rsidRPr="00536810">
        <w:rPr>
          <w:bCs/>
          <w:i/>
          <w:iCs/>
        </w:rPr>
        <w:t>, 87</w:t>
      </w:r>
      <w:r w:rsidRPr="00536810">
        <w:rPr>
          <w:bCs/>
        </w:rPr>
        <w:t>(4), 954</w:t>
      </w:r>
      <w:r w:rsidR="00E37DF1" w:rsidRPr="003E6AE2">
        <w:rPr>
          <w:bCs/>
        </w:rPr>
        <w:t>–</w:t>
      </w:r>
      <w:r w:rsidRPr="00536810">
        <w:rPr>
          <w:bCs/>
        </w:rPr>
        <w:t>959.</w:t>
      </w:r>
    </w:p>
    <w:p w14:paraId="79E23A9E" w14:textId="64710F0C" w:rsidR="003E6AE2" w:rsidRPr="00DE1150" w:rsidRDefault="003E6AE2" w:rsidP="005352D5">
      <w:pPr>
        <w:spacing w:line="480" w:lineRule="auto"/>
        <w:ind w:left="720" w:hanging="720"/>
        <w:rPr>
          <w:bCs/>
        </w:rPr>
      </w:pPr>
      <w:r w:rsidRPr="003E6AE2">
        <w:rPr>
          <w:bCs/>
        </w:rPr>
        <w:t xml:space="preserve">Zhang, Z., &amp; Wang, L. (2013). Methods for mediation analysis with missing data. </w:t>
      </w:r>
      <w:r w:rsidRPr="003E6AE2">
        <w:rPr>
          <w:bCs/>
          <w:i/>
          <w:iCs/>
        </w:rPr>
        <w:t>Psychometrika, 78</w:t>
      </w:r>
      <w:r w:rsidRPr="003E6AE2">
        <w:rPr>
          <w:bCs/>
        </w:rPr>
        <w:t>(1), 154</w:t>
      </w:r>
      <w:bookmarkStart w:id="2" w:name="_Hlk93321702"/>
      <w:r w:rsidRPr="003E6AE2">
        <w:rPr>
          <w:bCs/>
        </w:rPr>
        <w:t>–</w:t>
      </w:r>
      <w:bookmarkEnd w:id="2"/>
      <w:r w:rsidRPr="003E6AE2">
        <w:rPr>
          <w:bCs/>
        </w:rPr>
        <w:t>184.</w:t>
      </w:r>
    </w:p>
    <w:p w14:paraId="4D2B86E8" w14:textId="77777777" w:rsidR="00200D6E" w:rsidRPr="0018437C" w:rsidRDefault="00200D6E" w:rsidP="005352D5">
      <w:pPr>
        <w:spacing w:line="480" w:lineRule="auto"/>
        <w:rPr>
          <w:b/>
          <w:bCs/>
        </w:rPr>
      </w:pPr>
    </w:p>
    <w:sectPr w:rsidR="00200D6E" w:rsidRPr="0018437C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4BF05" w14:textId="77777777" w:rsidR="006A0481" w:rsidRDefault="006A0481" w:rsidP="00852DBA">
      <w:r>
        <w:separator/>
      </w:r>
    </w:p>
  </w:endnote>
  <w:endnote w:type="continuationSeparator" w:id="0">
    <w:p w14:paraId="50E8ED37" w14:textId="77777777" w:rsidR="006A0481" w:rsidRDefault="006A0481" w:rsidP="0085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CB2182" w14:textId="77777777" w:rsidR="006A0481" w:rsidRDefault="006A0481" w:rsidP="00852DBA">
      <w:r>
        <w:separator/>
      </w:r>
    </w:p>
  </w:footnote>
  <w:footnote w:type="continuationSeparator" w:id="0">
    <w:p w14:paraId="0321CE98" w14:textId="77777777" w:rsidR="006A0481" w:rsidRDefault="006A0481" w:rsidP="00852D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246610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A8F0483" w14:textId="545041CC" w:rsidR="00852DBA" w:rsidRDefault="00852DB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59B268D" w14:textId="77777777" w:rsidR="00852DBA" w:rsidRDefault="00852D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1F9"/>
    <w:rsid w:val="000051FC"/>
    <w:rsid w:val="00011098"/>
    <w:rsid w:val="00012652"/>
    <w:rsid w:val="0003367D"/>
    <w:rsid w:val="000453C9"/>
    <w:rsid w:val="000501F8"/>
    <w:rsid w:val="00067C57"/>
    <w:rsid w:val="00076D0B"/>
    <w:rsid w:val="00086870"/>
    <w:rsid w:val="000C5B9D"/>
    <w:rsid w:val="000C7146"/>
    <w:rsid w:val="000F0FE3"/>
    <w:rsid w:val="001145A3"/>
    <w:rsid w:val="0012085D"/>
    <w:rsid w:val="001273DA"/>
    <w:rsid w:val="00131E18"/>
    <w:rsid w:val="0013331D"/>
    <w:rsid w:val="00140597"/>
    <w:rsid w:val="00145FA1"/>
    <w:rsid w:val="0014631E"/>
    <w:rsid w:val="00155E46"/>
    <w:rsid w:val="001574C2"/>
    <w:rsid w:val="00161ABD"/>
    <w:rsid w:val="00162D1D"/>
    <w:rsid w:val="00164F0A"/>
    <w:rsid w:val="001830A1"/>
    <w:rsid w:val="0018437C"/>
    <w:rsid w:val="00184A8F"/>
    <w:rsid w:val="001926A7"/>
    <w:rsid w:val="001A6C99"/>
    <w:rsid w:val="001B5F50"/>
    <w:rsid w:val="001C7592"/>
    <w:rsid w:val="001D7EA0"/>
    <w:rsid w:val="001E2823"/>
    <w:rsid w:val="001E3198"/>
    <w:rsid w:val="001E782E"/>
    <w:rsid w:val="001F5B5A"/>
    <w:rsid w:val="00200D6E"/>
    <w:rsid w:val="00206B85"/>
    <w:rsid w:val="002135C6"/>
    <w:rsid w:val="00222F94"/>
    <w:rsid w:val="0022609C"/>
    <w:rsid w:val="00227356"/>
    <w:rsid w:val="00245B87"/>
    <w:rsid w:val="0026168C"/>
    <w:rsid w:val="002702A2"/>
    <w:rsid w:val="002738F0"/>
    <w:rsid w:val="00286E9C"/>
    <w:rsid w:val="002A7B93"/>
    <w:rsid w:val="002B46CF"/>
    <w:rsid w:val="002B4E4C"/>
    <w:rsid w:val="002D6820"/>
    <w:rsid w:val="002E2862"/>
    <w:rsid w:val="002E6130"/>
    <w:rsid w:val="002F0A08"/>
    <w:rsid w:val="0030305A"/>
    <w:rsid w:val="00316665"/>
    <w:rsid w:val="00320E64"/>
    <w:rsid w:val="0032177A"/>
    <w:rsid w:val="00325103"/>
    <w:rsid w:val="003320E9"/>
    <w:rsid w:val="003470AD"/>
    <w:rsid w:val="00351625"/>
    <w:rsid w:val="00360CA3"/>
    <w:rsid w:val="00371461"/>
    <w:rsid w:val="00371498"/>
    <w:rsid w:val="0038225C"/>
    <w:rsid w:val="00383629"/>
    <w:rsid w:val="003848EB"/>
    <w:rsid w:val="003B51E1"/>
    <w:rsid w:val="003B6836"/>
    <w:rsid w:val="003C1A54"/>
    <w:rsid w:val="003E6AE2"/>
    <w:rsid w:val="003F08D0"/>
    <w:rsid w:val="003F1F47"/>
    <w:rsid w:val="004004D6"/>
    <w:rsid w:val="00402B36"/>
    <w:rsid w:val="0042371A"/>
    <w:rsid w:val="0042653E"/>
    <w:rsid w:val="00430FB3"/>
    <w:rsid w:val="00431BA0"/>
    <w:rsid w:val="00436908"/>
    <w:rsid w:val="00443169"/>
    <w:rsid w:val="00454E6B"/>
    <w:rsid w:val="00481383"/>
    <w:rsid w:val="004833BB"/>
    <w:rsid w:val="00484E44"/>
    <w:rsid w:val="00493F7F"/>
    <w:rsid w:val="004A48FC"/>
    <w:rsid w:val="004B0B70"/>
    <w:rsid w:val="004C329C"/>
    <w:rsid w:val="004C6085"/>
    <w:rsid w:val="004E4074"/>
    <w:rsid w:val="004E4430"/>
    <w:rsid w:val="004F0D5E"/>
    <w:rsid w:val="00510796"/>
    <w:rsid w:val="00510FAC"/>
    <w:rsid w:val="00523CE7"/>
    <w:rsid w:val="005254B3"/>
    <w:rsid w:val="00533B5C"/>
    <w:rsid w:val="005352D5"/>
    <w:rsid w:val="00536810"/>
    <w:rsid w:val="00541E9A"/>
    <w:rsid w:val="00547A61"/>
    <w:rsid w:val="00547EE4"/>
    <w:rsid w:val="0057345B"/>
    <w:rsid w:val="005801E8"/>
    <w:rsid w:val="00583F3B"/>
    <w:rsid w:val="00584D43"/>
    <w:rsid w:val="00593970"/>
    <w:rsid w:val="005A56F3"/>
    <w:rsid w:val="005B3773"/>
    <w:rsid w:val="005B50B3"/>
    <w:rsid w:val="005B7A8A"/>
    <w:rsid w:val="005D2826"/>
    <w:rsid w:val="005F0A2E"/>
    <w:rsid w:val="005F26FE"/>
    <w:rsid w:val="005F797E"/>
    <w:rsid w:val="00617B31"/>
    <w:rsid w:val="00621C2D"/>
    <w:rsid w:val="006324A3"/>
    <w:rsid w:val="00636A57"/>
    <w:rsid w:val="00636C93"/>
    <w:rsid w:val="006373F1"/>
    <w:rsid w:val="00645F28"/>
    <w:rsid w:val="00653F56"/>
    <w:rsid w:val="00657844"/>
    <w:rsid w:val="00660A98"/>
    <w:rsid w:val="00666D49"/>
    <w:rsid w:val="00666F61"/>
    <w:rsid w:val="0069263C"/>
    <w:rsid w:val="006A0481"/>
    <w:rsid w:val="006B58C7"/>
    <w:rsid w:val="006B620E"/>
    <w:rsid w:val="006B769E"/>
    <w:rsid w:val="006C5B41"/>
    <w:rsid w:val="006E2CD5"/>
    <w:rsid w:val="006F38F7"/>
    <w:rsid w:val="00703CE3"/>
    <w:rsid w:val="00707EB2"/>
    <w:rsid w:val="007101DE"/>
    <w:rsid w:val="00727CAC"/>
    <w:rsid w:val="0074187D"/>
    <w:rsid w:val="00741984"/>
    <w:rsid w:val="0075012B"/>
    <w:rsid w:val="007646B5"/>
    <w:rsid w:val="00765EB6"/>
    <w:rsid w:val="007A1D1D"/>
    <w:rsid w:val="007A25B3"/>
    <w:rsid w:val="007A7D82"/>
    <w:rsid w:val="007D753A"/>
    <w:rsid w:val="007E649D"/>
    <w:rsid w:val="0080586D"/>
    <w:rsid w:val="0080767B"/>
    <w:rsid w:val="00821406"/>
    <w:rsid w:val="0082598F"/>
    <w:rsid w:val="00840263"/>
    <w:rsid w:val="00851F27"/>
    <w:rsid w:val="00852DBA"/>
    <w:rsid w:val="00866009"/>
    <w:rsid w:val="008815A9"/>
    <w:rsid w:val="00891DBE"/>
    <w:rsid w:val="00897A3C"/>
    <w:rsid w:val="008A0241"/>
    <w:rsid w:val="008A5865"/>
    <w:rsid w:val="008B1A3A"/>
    <w:rsid w:val="008C5189"/>
    <w:rsid w:val="008C63B8"/>
    <w:rsid w:val="008D10C7"/>
    <w:rsid w:val="008D2BC0"/>
    <w:rsid w:val="008E0706"/>
    <w:rsid w:val="008F3E31"/>
    <w:rsid w:val="009127D3"/>
    <w:rsid w:val="00923733"/>
    <w:rsid w:val="00923E6B"/>
    <w:rsid w:val="00926BEC"/>
    <w:rsid w:val="0094523A"/>
    <w:rsid w:val="00947000"/>
    <w:rsid w:val="009545A1"/>
    <w:rsid w:val="009546B2"/>
    <w:rsid w:val="0097470A"/>
    <w:rsid w:val="00991A0B"/>
    <w:rsid w:val="009B3000"/>
    <w:rsid w:val="009E1D5B"/>
    <w:rsid w:val="009E314D"/>
    <w:rsid w:val="009E5BB4"/>
    <w:rsid w:val="009E6BBA"/>
    <w:rsid w:val="009F426F"/>
    <w:rsid w:val="00A02844"/>
    <w:rsid w:val="00A24C36"/>
    <w:rsid w:val="00A26BCA"/>
    <w:rsid w:val="00A27E6F"/>
    <w:rsid w:val="00A54CC5"/>
    <w:rsid w:val="00A62D13"/>
    <w:rsid w:val="00A6344A"/>
    <w:rsid w:val="00A75824"/>
    <w:rsid w:val="00A76123"/>
    <w:rsid w:val="00A871E5"/>
    <w:rsid w:val="00A91DEF"/>
    <w:rsid w:val="00A951B6"/>
    <w:rsid w:val="00AA1EB3"/>
    <w:rsid w:val="00AA1FFE"/>
    <w:rsid w:val="00AA553E"/>
    <w:rsid w:val="00AB01F9"/>
    <w:rsid w:val="00AB3CD1"/>
    <w:rsid w:val="00AB6740"/>
    <w:rsid w:val="00AB6B9B"/>
    <w:rsid w:val="00AC39D5"/>
    <w:rsid w:val="00AC5415"/>
    <w:rsid w:val="00AD5DD3"/>
    <w:rsid w:val="00AD5E02"/>
    <w:rsid w:val="00AE3AB5"/>
    <w:rsid w:val="00AF0544"/>
    <w:rsid w:val="00AF5718"/>
    <w:rsid w:val="00B0060D"/>
    <w:rsid w:val="00B362A2"/>
    <w:rsid w:val="00B437EE"/>
    <w:rsid w:val="00B5789C"/>
    <w:rsid w:val="00B655B1"/>
    <w:rsid w:val="00B81889"/>
    <w:rsid w:val="00B8321C"/>
    <w:rsid w:val="00B83796"/>
    <w:rsid w:val="00B86D8A"/>
    <w:rsid w:val="00BA0374"/>
    <w:rsid w:val="00BA112A"/>
    <w:rsid w:val="00BA4120"/>
    <w:rsid w:val="00BA4C4A"/>
    <w:rsid w:val="00BA4D67"/>
    <w:rsid w:val="00BB037E"/>
    <w:rsid w:val="00BD5083"/>
    <w:rsid w:val="00BD7002"/>
    <w:rsid w:val="00BD75A4"/>
    <w:rsid w:val="00BE133F"/>
    <w:rsid w:val="00BE62BB"/>
    <w:rsid w:val="00BF1792"/>
    <w:rsid w:val="00BF3C4A"/>
    <w:rsid w:val="00BF524D"/>
    <w:rsid w:val="00BF55A9"/>
    <w:rsid w:val="00BF7AEB"/>
    <w:rsid w:val="00C601F0"/>
    <w:rsid w:val="00C6048F"/>
    <w:rsid w:val="00C64F7C"/>
    <w:rsid w:val="00C84096"/>
    <w:rsid w:val="00CA370A"/>
    <w:rsid w:val="00CB0EB2"/>
    <w:rsid w:val="00CB70DF"/>
    <w:rsid w:val="00CC58DE"/>
    <w:rsid w:val="00CD4C77"/>
    <w:rsid w:val="00CD69F2"/>
    <w:rsid w:val="00CD797E"/>
    <w:rsid w:val="00CF06BA"/>
    <w:rsid w:val="00CF260E"/>
    <w:rsid w:val="00D170E4"/>
    <w:rsid w:val="00D34E97"/>
    <w:rsid w:val="00D371E5"/>
    <w:rsid w:val="00D42580"/>
    <w:rsid w:val="00D42CE1"/>
    <w:rsid w:val="00D43DBD"/>
    <w:rsid w:val="00D567E4"/>
    <w:rsid w:val="00D64A63"/>
    <w:rsid w:val="00D73988"/>
    <w:rsid w:val="00D94847"/>
    <w:rsid w:val="00DA5E96"/>
    <w:rsid w:val="00DB7624"/>
    <w:rsid w:val="00DC345C"/>
    <w:rsid w:val="00DC3842"/>
    <w:rsid w:val="00DD38FE"/>
    <w:rsid w:val="00DD3FC2"/>
    <w:rsid w:val="00DD66B2"/>
    <w:rsid w:val="00DE214D"/>
    <w:rsid w:val="00DE6545"/>
    <w:rsid w:val="00DF3A3F"/>
    <w:rsid w:val="00E07476"/>
    <w:rsid w:val="00E12A28"/>
    <w:rsid w:val="00E20D73"/>
    <w:rsid w:val="00E23939"/>
    <w:rsid w:val="00E3423E"/>
    <w:rsid w:val="00E37DF1"/>
    <w:rsid w:val="00E630DB"/>
    <w:rsid w:val="00E63896"/>
    <w:rsid w:val="00E77105"/>
    <w:rsid w:val="00E824A7"/>
    <w:rsid w:val="00E8673F"/>
    <w:rsid w:val="00E91733"/>
    <w:rsid w:val="00EA4888"/>
    <w:rsid w:val="00EA61FA"/>
    <w:rsid w:val="00ED5703"/>
    <w:rsid w:val="00EE4AB3"/>
    <w:rsid w:val="00EF387A"/>
    <w:rsid w:val="00F00D3F"/>
    <w:rsid w:val="00F077E4"/>
    <w:rsid w:val="00F07E1A"/>
    <w:rsid w:val="00F13704"/>
    <w:rsid w:val="00F1526C"/>
    <w:rsid w:val="00F303B9"/>
    <w:rsid w:val="00F36339"/>
    <w:rsid w:val="00F477A8"/>
    <w:rsid w:val="00F5158B"/>
    <w:rsid w:val="00F6494C"/>
    <w:rsid w:val="00F76036"/>
    <w:rsid w:val="00FA55D9"/>
    <w:rsid w:val="00FA5B18"/>
    <w:rsid w:val="00FA7DDE"/>
    <w:rsid w:val="00FD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3295BB"/>
  <w15:chartTrackingRefBased/>
  <w15:docId w15:val="{9EC1B1BA-8073-4B9E-A720-7E3DD3C80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5B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F5B5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94700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947000"/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64A63"/>
    <w:rPr>
      <w:color w:val="808080"/>
    </w:rPr>
  </w:style>
  <w:style w:type="table" w:styleId="TableGrid">
    <w:name w:val="Table Grid"/>
    <w:basedOn w:val="TableNormal"/>
    <w:uiPriority w:val="39"/>
    <w:rsid w:val="00222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45FA1"/>
    <w:pPr>
      <w:spacing w:after="200"/>
    </w:pPr>
    <w:rPr>
      <w:i/>
      <w:iCs/>
      <w:color w:val="44546A" w:themeColor="text2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5F26FE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unhideWhenUsed/>
    <w:rsid w:val="00E074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0747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52D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2DB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2D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DB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01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f.io/sgx2p/" TargetMode="External"/><Relationship Id="rId13" Type="http://schemas.openxmlformats.org/officeDocument/2006/relationships/hyperlink" Target="https://osf.io/sgx2p/" TargetMode="External"/><Relationship Id="rId18" Type="http://schemas.openxmlformats.org/officeDocument/2006/relationships/hyperlink" Target="https://www.R-project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madonna.cadiz@gmail.com" TargetMode="External"/><Relationship Id="rId12" Type="http://schemas.openxmlformats.org/officeDocument/2006/relationships/hyperlink" Target="https://osf.io/sgx2p/" TargetMode="External"/><Relationship Id="rId17" Type="http://schemas.openxmlformats.org/officeDocument/2006/relationships/hyperlink" Target="http://www.appliedmissingdata.com/multilevel-imputation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osf.io/sgx2p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osf.io/sgx2p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osf.io/sgx2p/" TargetMode="External"/><Relationship Id="rId10" Type="http://schemas.openxmlformats.org/officeDocument/2006/relationships/hyperlink" Target="https://osf.io/sgx2p/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sf.io/sgx2p/" TargetMode="External"/><Relationship Id="rId14" Type="http://schemas.openxmlformats.org/officeDocument/2006/relationships/hyperlink" Target="https://osf.io/sgx2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8B029A-F3D3-4436-8F06-A51EE0574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6436</Words>
  <Characters>28190</Characters>
  <Application>Microsoft Office Word</Application>
  <DocSecurity>0</DocSecurity>
  <Lines>477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Tristan Tibbe</dc:creator>
  <cp:keywords/>
  <dc:description/>
  <cp:lastModifiedBy>Madonna Cadiz</cp:lastModifiedBy>
  <cp:revision>2</cp:revision>
  <dcterms:created xsi:type="dcterms:W3CDTF">2023-05-16T18:34:00Z</dcterms:created>
  <dcterms:modified xsi:type="dcterms:W3CDTF">2023-05-16T18:34:00Z</dcterms:modified>
</cp:coreProperties>
</file>