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59D8" w14:textId="77777777" w:rsidR="00A939E8" w:rsidRPr="00233B51" w:rsidRDefault="00A939E8" w:rsidP="00A939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B5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Materials</w:t>
      </w:r>
    </w:p>
    <w:p w14:paraId="76D48769" w14:textId="77777777" w:rsidR="00233B51" w:rsidRPr="00233B51" w:rsidRDefault="00233B51" w:rsidP="00A939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B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Differences in Aggression and Alcohol Use among Youth with Varying Levels of Victimization and Popularity Status </w:t>
      </w:r>
    </w:p>
    <w:p w14:paraId="15BCCC93" w14:textId="197F9E26" w:rsidR="00233B51" w:rsidRPr="00233B51" w:rsidRDefault="000238DC" w:rsidP="00233B51">
      <w:pPr>
        <w:pStyle w:val="Default"/>
        <w:spacing w:line="276" w:lineRule="auto"/>
        <w:rPr>
          <w:iCs/>
          <w:lang w:val="en-US"/>
        </w:rPr>
      </w:pPr>
      <w:r w:rsidRPr="00233B51">
        <w:rPr>
          <w:b/>
          <w:bCs/>
          <w:lang w:val="en-US"/>
        </w:rPr>
        <w:t xml:space="preserve">Table S1. </w:t>
      </w:r>
      <w:r w:rsidR="00233B51" w:rsidRPr="00233B51">
        <w:rPr>
          <w:iCs/>
          <w:lang w:val="en-US"/>
        </w:rPr>
        <w:t>Comparison of Dependent Variables between Three Subgroups of Lower-Status Victims</w:t>
      </w:r>
    </w:p>
    <w:p w14:paraId="6D0E9D1A" w14:textId="77777777" w:rsidR="00233B51" w:rsidRPr="00233B51" w:rsidRDefault="00233B51">
      <w:pP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233B51">
        <w:rPr>
          <w:iCs/>
          <w:lang w:val="en-US"/>
        </w:rPr>
        <w:br w:type="page"/>
      </w:r>
    </w:p>
    <w:p w14:paraId="70E8CB89" w14:textId="68E574A9" w:rsidR="00233B51" w:rsidRPr="00233B51" w:rsidRDefault="00233B51" w:rsidP="00233B51">
      <w:pPr>
        <w:rPr>
          <w:rFonts w:ascii="Times New Roman" w:eastAsia="Times New Roman" w:hAnsi="Times New Roman" w:cs="Times New Roman"/>
          <w:color w:val="222222"/>
          <w:lang w:val="en-US"/>
        </w:rPr>
      </w:pPr>
      <w:r w:rsidRPr="00233B51">
        <w:rPr>
          <w:rFonts w:ascii="Times New Roman" w:eastAsia="Times New Roman" w:hAnsi="Times New Roman" w:cs="Times New Roman"/>
          <w:color w:val="222222"/>
          <w:lang w:val="en-US"/>
        </w:rPr>
        <w:lastRenderedPageBreak/>
        <w:t>Table S1</w:t>
      </w:r>
      <w:r w:rsidRPr="00233B5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233B51">
        <w:rPr>
          <w:rFonts w:ascii="Times New Roman" w:hAnsi="Times New Roman" w:cs="Times New Roman"/>
          <w:i/>
          <w:lang w:val="en-US"/>
        </w:rPr>
        <w:t>Comparison of Dependent Variables between Three Subgroups of Lower-Status Victims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721"/>
        <w:gridCol w:w="432"/>
        <w:gridCol w:w="1728"/>
        <w:gridCol w:w="1728"/>
        <w:gridCol w:w="1613"/>
      </w:tblGrid>
      <w:tr w:rsidR="00233B51" w:rsidRPr="00233B51" w14:paraId="5070D662" w14:textId="77777777" w:rsidTr="003658D5">
        <w:trPr>
          <w:trHeight w:val="366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DD5434D" w14:textId="7F01DB25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6983B69D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7D019679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</w:tcBorders>
            <w:vAlign w:val="center"/>
          </w:tcPr>
          <w:p w14:paraId="40F6A04F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Lower-Status Victims</w:t>
            </w:r>
          </w:p>
        </w:tc>
      </w:tr>
      <w:tr w:rsidR="00233B51" w:rsidRPr="00233B51" w14:paraId="756C7383" w14:textId="77777777" w:rsidTr="003658D5">
        <w:trPr>
          <w:trHeight w:val="366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3DD45B8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AC86EB3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64B8E1C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B97B424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Convergent </w:t>
            </w:r>
          </w:p>
          <w:p w14:paraId="05E6BF78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(</w:t>
            </w:r>
            <w:r w:rsidRPr="00233B51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233B51">
              <w:rPr>
                <w:rFonts w:ascii="Times New Roman" w:hAnsi="Times New Roman" w:cs="Times New Roman"/>
                <w:lang w:val="en-US"/>
              </w:rPr>
              <w:t xml:space="preserve"> = 31)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04C11C6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Self-identified </w:t>
            </w:r>
            <w:r w:rsidRPr="00233B51">
              <w:rPr>
                <w:rFonts w:ascii="Times New Roman" w:hAnsi="Times New Roman" w:cs="Times New Roman"/>
                <w:lang w:val="en-US"/>
              </w:rPr>
              <w:br/>
              <w:t>(</w:t>
            </w:r>
            <w:r w:rsidRPr="00233B51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233B51">
              <w:rPr>
                <w:rFonts w:ascii="Times New Roman" w:hAnsi="Times New Roman" w:cs="Times New Roman"/>
                <w:lang w:val="en-US"/>
              </w:rPr>
              <w:t xml:space="preserve"> = 186)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01528EBB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Peer-identified</w:t>
            </w:r>
          </w:p>
          <w:p w14:paraId="573A5F72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(</w:t>
            </w:r>
            <w:r w:rsidRPr="00233B51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233B51">
              <w:rPr>
                <w:rFonts w:ascii="Times New Roman" w:hAnsi="Times New Roman" w:cs="Times New Roman"/>
                <w:lang w:val="en-US"/>
              </w:rPr>
              <w:t xml:space="preserve"> = 65)</w:t>
            </w:r>
          </w:p>
        </w:tc>
      </w:tr>
      <w:tr w:rsidR="00233B51" w:rsidRPr="00233B51" w14:paraId="303555B1" w14:textId="77777777" w:rsidTr="003658D5">
        <w:trPr>
          <w:trHeight w:val="366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5C98589B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Bullying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5B8C216D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29EB3AC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40399DA9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7D6221E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38BC7084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</w:tr>
      <w:tr w:rsidR="00233B51" w:rsidRPr="00233B51" w14:paraId="6A4267E0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092523B2" w14:textId="77777777" w:rsidR="00233B51" w:rsidRPr="00233B51" w:rsidRDefault="00233B51" w:rsidP="003658D5">
            <w:pPr>
              <w:widowControl w:val="0"/>
              <w:ind w:left="335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Self-report</w:t>
            </w:r>
          </w:p>
        </w:tc>
        <w:tc>
          <w:tcPr>
            <w:tcW w:w="721" w:type="dxa"/>
            <w:vAlign w:val="center"/>
          </w:tcPr>
          <w:p w14:paraId="70D72693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T1</w:t>
            </w:r>
          </w:p>
        </w:tc>
        <w:tc>
          <w:tcPr>
            <w:tcW w:w="432" w:type="dxa"/>
            <w:vAlign w:val="center"/>
          </w:tcPr>
          <w:p w14:paraId="08EFB71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6F50819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1.33 (0.34)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7E895912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1.46 (0.40)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762AFD4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1.09 (0.16)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3407B44D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1097DE4F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2D383FB0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432" w:type="dxa"/>
            <w:vAlign w:val="center"/>
          </w:tcPr>
          <w:p w14:paraId="61F0053F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50063893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1.20 (0.31) </w:t>
            </w:r>
            <w:proofErr w:type="spellStart"/>
            <w:proofErr w:type="gramStart"/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728" w:type="dxa"/>
            <w:vAlign w:val="center"/>
          </w:tcPr>
          <w:p w14:paraId="19B52E74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1.38 (0.50)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56C3E3D1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1.12 (0.30)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5C1F137D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269CAC9D" w14:textId="77777777" w:rsidR="00233B51" w:rsidRPr="00233B51" w:rsidRDefault="00233B51" w:rsidP="003658D5">
            <w:pPr>
              <w:widowControl w:val="0"/>
              <w:ind w:left="335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Peer-report</w:t>
            </w:r>
          </w:p>
        </w:tc>
        <w:tc>
          <w:tcPr>
            <w:tcW w:w="721" w:type="dxa"/>
            <w:vAlign w:val="center"/>
          </w:tcPr>
          <w:p w14:paraId="6396D72E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T1</w:t>
            </w:r>
          </w:p>
        </w:tc>
        <w:tc>
          <w:tcPr>
            <w:tcW w:w="432" w:type="dxa"/>
            <w:vAlign w:val="center"/>
          </w:tcPr>
          <w:p w14:paraId="2CC9D8E1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5691E90F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-0.17 (1.02) </w:t>
            </w:r>
            <w:proofErr w:type="spellStart"/>
            <w:proofErr w:type="gramStart"/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728" w:type="dxa"/>
            <w:vAlign w:val="center"/>
          </w:tcPr>
          <w:p w14:paraId="36A6BC91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-0.11 (0.81)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359CD188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-0.42 (0.36)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0473CFE1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2F3B8E62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1AD215A1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432" w:type="dxa"/>
            <w:vAlign w:val="center"/>
          </w:tcPr>
          <w:p w14:paraId="089474AB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424C79EB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0.01 (0.97)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0AEE164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-0.16 (0.70)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6AD83B9C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-0.33 (0.40)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233B51" w:rsidRPr="00233B51" w14:paraId="3FAB1AF0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69FA961F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Proactive aggression</w:t>
            </w:r>
          </w:p>
        </w:tc>
        <w:tc>
          <w:tcPr>
            <w:tcW w:w="721" w:type="dxa"/>
            <w:vAlign w:val="center"/>
          </w:tcPr>
          <w:p w14:paraId="4D5E039E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T1</w:t>
            </w:r>
          </w:p>
        </w:tc>
        <w:tc>
          <w:tcPr>
            <w:tcW w:w="432" w:type="dxa"/>
            <w:vAlign w:val="center"/>
          </w:tcPr>
          <w:p w14:paraId="2ABDB4DE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4AD074C6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0.00 (1.07)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3A1CBEC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-0.04 (0.96)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613" w:type="dxa"/>
            <w:vAlign w:val="center"/>
          </w:tcPr>
          <w:p w14:paraId="7BCE9806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-0.15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233B51">
              <w:rPr>
                <w:rFonts w:ascii="Times New Roman" w:hAnsi="Times New Roman" w:cs="Times New Roman"/>
                <w:lang w:val="en-US"/>
              </w:rPr>
              <w:t>(0.79)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</w:tr>
      <w:tr w:rsidR="00233B51" w:rsidRPr="00233B51" w14:paraId="45EFA715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22352D4D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6D179AB8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432" w:type="dxa"/>
            <w:vAlign w:val="center"/>
          </w:tcPr>
          <w:p w14:paraId="3D976414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73E72802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0.15 (1.23)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05F6BF47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-0.11 (0.75)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6614C5A8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-0.21 (0.65)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233B51" w:rsidRPr="00233B51" w14:paraId="32639317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15E99D6F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Reactive aggression</w:t>
            </w:r>
          </w:p>
        </w:tc>
        <w:tc>
          <w:tcPr>
            <w:tcW w:w="721" w:type="dxa"/>
            <w:vAlign w:val="center"/>
          </w:tcPr>
          <w:p w14:paraId="3E4965C5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T1</w:t>
            </w:r>
          </w:p>
        </w:tc>
        <w:tc>
          <w:tcPr>
            <w:tcW w:w="432" w:type="dxa"/>
            <w:vAlign w:val="center"/>
          </w:tcPr>
          <w:p w14:paraId="20D2041F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33F4CCAA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2.29 (1.85)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515C6076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0.05 (0.86)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613" w:type="dxa"/>
            <w:vAlign w:val="center"/>
          </w:tcPr>
          <w:p w14:paraId="5FED6C6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0.37 (1.31)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0E675DDB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310EA8A1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1A680913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432" w:type="dxa"/>
            <w:vAlign w:val="center"/>
          </w:tcPr>
          <w:p w14:paraId="2430D68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00A39EFE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1.41 (1.80)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2017197E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0.16 (1.08)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613" w:type="dxa"/>
            <w:vAlign w:val="center"/>
          </w:tcPr>
          <w:p w14:paraId="3139B87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0.42 (1.37)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13B69BEF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2E884C80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Indirect </w:t>
            </w:r>
            <w:proofErr w:type="spellStart"/>
            <w:r w:rsidRPr="00233B51">
              <w:rPr>
                <w:rFonts w:ascii="Times New Roman" w:hAnsi="Times New Roman" w:cs="Times New Roman"/>
                <w:lang w:val="en-US"/>
              </w:rPr>
              <w:t>agression</w:t>
            </w:r>
            <w:proofErr w:type="spellEnd"/>
            <w:r w:rsidRPr="00233B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DEB9398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T1</w:t>
            </w:r>
          </w:p>
        </w:tc>
        <w:tc>
          <w:tcPr>
            <w:tcW w:w="432" w:type="dxa"/>
            <w:vAlign w:val="center"/>
          </w:tcPr>
          <w:p w14:paraId="1189FC2F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759C5DA7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-0.16 (0.61)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0AC1D3EC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-0.10 (0.82)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48EBA8C6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-0.53 (0.39)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27BC4409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5F88D7CB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1FCB7AE3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432" w:type="dxa"/>
            <w:vAlign w:val="center"/>
          </w:tcPr>
          <w:p w14:paraId="5C361EC5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23475046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-0.15 (0.67)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01DF45B4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-0.11 (0.76)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613" w:type="dxa"/>
            <w:vAlign w:val="center"/>
          </w:tcPr>
          <w:p w14:paraId="6D81CDAC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-0.51 (0.24)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680652BE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7C8AE41C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Direct aggression</w:t>
            </w:r>
          </w:p>
        </w:tc>
        <w:tc>
          <w:tcPr>
            <w:tcW w:w="721" w:type="dxa"/>
            <w:vAlign w:val="center"/>
          </w:tcPr>
          <w:p w14:paraId="775DF404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T1</w:t>
            </w:r>
          </w:p>
        </w:tc>
        <w:tc>
          <w:tcPr>
            <w:tcW w:w="432" w:type="dxa"/>
            <w:vAlign w:val="center"/>
          </w:tcPr>
          <w:p w14:paraId="6A672261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119ED6DB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-0.12 (1.05)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15A54D74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-0.10 (0.83)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01990FF8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-0.36 (0.74)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233B51" w:rsidRPr="00233B51" w14:paraId="347CD4BB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55A11EF6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212DA3CD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432" w:type="dxa"/>
            <w:vAlign w:val="center"/>
          </w:tcPr>
          <w:p w14:paraId="6EF1C08B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4B7482D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-0.09 (1.14)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vAlign w:val="center"/>
          </w:tcPr>
          <w:p w14:paraId="4FCD478E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-0.11 (0.74)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113EE25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-0.41 (0.63)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233B51" w:rsidRPr="00233B51" w14:paraId="6D73B690" w14:textId="77777777" w:rsidTr="003658D5">
        <w:trPr>
          <w:trHeight w:val="366"/>
        </w:trPr>
        <w:tc>
          <w:tcPr>
            <w:tcW w:w="2425" w:type="dxa"/>
            <w:vAlign w:val="center"/>
          </w:tcPr>
          <w:p w14:paraId="33F9D038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Alcohol Use </w:t>
            </w:r>
          </w:p>
        </w:tc>
        <w:tc>
          <w:tcPr>
            <w:tcW w:w="721" w:type="dxa"/>
            <w:vAlign w:val="center"/>
          </w:tcPr>
          <w:p w14:paraId="11B5B65C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T1</w:t>
            </w:r>
          </w:p>
        </w:tc>
        <w:tc>
          <w:tcPr>
            <w:tcW w:w="432" w:type="dxa"/>
            <w:vAlign w:val="center"/>
          </w:tcPr>
          <w:p w14:paraId="03219BE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3B65998C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0.03 (0.18) </w:t>
            </w:r>
            <w:proofErr w:type="spellStart"/>
            <w:proofErr w:type="gramStart"/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728" w:type="dxa"/>
            <w:vAlign w:val="center"/>
          </w:tcPr>
          <w:p w14:paraId="43C05A0A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0.14 (0.37)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vAlign w:val="center"/>
          </w:tcPr>
          <w:p w14:paraId="454B1BBB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0.02 (0.12)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233B51" w:rsidRPr="00233B51" w14:paraId="2F876377" w14:textId="77777777" w:rsidTr="003658D5">
        <w:trPr>
          <w:trHeight w:val="366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B2FA628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E05F91D" w14:textId="77777777" w:rsidR="00233B51" w:rsidRPr="00233B51" w:rsidRDefault="00233B51" w:rsidP="003658D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632AA4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0BBFA80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0.09 (0.29) </w:t>
            </w:r>
            <w:proofErr w:type="spellStart"/>
            <w:proofErr w:type="gramStart"/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685F8FD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0.24 (0.56)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7CADB861" w14:textId="77777777" w:rsidR="00233B51" w:rsidRPr="00233B51" w:rsidRDefault="00233B51" w:rsidP="003658D5">
            <w:pPr>
              <w:widowControl w:val="0"/>
              <w:tabs>
                <w:tab w:val="decimal" w:pos="288"/>
              </w:tabs>
              <w:rPr>
                <w:rFonts w:ascii="Times New Roman" w:hAnsi="Times New Roman" w:cs="Times New Roman"/>
                <w:lang w:val="en-US"/>
              </w:rPr>
            </w:pPr>
            <w:r w:rsidRPr="00233B51">
              <w:rPr>
                <w:rFonts w:ascii="Times New Roman" w:hAnsi="Times New Roman" w:cs="Times New Roman"/>
                <w:lang w:val="en-US"/>
              </w:rPr>
              <w:t xml:space="preserve">0.02 (0.14) </w:t>
            </w:r>
            <w:r w:rsidRPr="00233B5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</w:tbl>
    <w:p w14:paraId="77FF9A61" w14:textId="417E1E66" w:rsidR="00233B51" w:rsidRPr="00233B51" w:rsidRDefault="00233B51" w:rsidP="00233B51">
      <w:pPr>
        <w:rPr>
          <w:rFonts w:ascii="Times New Roman" w:eastAsia="Times New Roman" w:hAnsi="Times New Roman" w:cs="Times New Roman"/>
          <w:color w:val="222222"/>
          <w:lang w:val="en-US"/>
        </w:rPr>
      </w:pPr>
      <w:r w:rsidRPr="00233B51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Note.</w:t>
      </w:r>
      <w:r w:rsidRPr="00233B51">
        <w:rPr>
          <w:rFonts w:ascii="Times New Roman" w:eastAsia="Times New Roman" w:hAnsi="Times New Roman" w:cs="Times New Roman"/>
          <w:color w:val="222222"/>
          <w:lang w:val="en-US"/>
        </w:rPr>
        <w:t xml:space="preserve"> Predicted adjusted means and standard errors from the multilevel mixed-effects linear regression analyses predicting the dependent variables are reported. All regression models controlled for gender. T1 = time 1. T2 = time 2. Proactive, reactive, </w:t>
      </w:r>
      <w:proofErr w:type="gramStart"/>
      <w:r w:rsidRPr="00233B51">
        <w:rPr>
          <w:rFonts w:ascii="Times New Roman" w:eastAsia="Times New Roman" w:hAnsi="Times New Roman" w:cs="Times New Roman"/>
          <w:color w:val="222222"/>
          <w:lang w:val="en-US"/>
        </w:rPr>
        <w:t>indirect</w:t>
      </w:r>
      <w:proofErr w:type="gramEnd"/>
      <w:r w:rsidRPr="00233B51">
        <w:rPr>
          <w:rFonts w:ascii="Times New Roman" w:eastAsia="Times New Roman" w:hAnsi="Times New Roman" w:cs="Times New Roman"/>
          <w:color w:val="222222"/>
          <w:lang w:val="en-US"/>
        </w:rPr>
        <w:t xml:space="preserve"> and direct aggression are measured via peer nominations. Alcohol use is measured via self-reports. Means in the same row that do not share superscripts </w:t>
      </w:r>
      <w:r w:rsidR="00834EE5">
        <w:rPr>
          <w:rFonts w:ascii="Times New Roman" w:eastAsia="Times New Roman" w:hAnsi="Times New Roman" w:cs="Times New Roman"/>
          <w:color w:val="222222"/>
          <w:lang w:val="en-US"/>
        </w:rPr>
        <w:t>(</w:t>
      </w:r>
      <w:r w:rsidR="00834EE5" w:rsidRPr="00834EE5">
        <w:rPr>
          <w:rFonts w:ascii="Times New Roman" w:eastAsia="Times New Roman" w:hAnsi="Times New Roman" w:cs="Times New Roman"/>
          <w:color w:val="222222"/>
          <w:vertAlign w:val="superscript"/>
          <w:lang w:val="en-US"/>
        </w:rPr>
        <w:t>a</w:t>
      </w:r>
      <w:r w:rsidR="001C7F11">
        <w:rPr>
          <w:rFonts w:ascii="Times New Roman" w:eastAsia="Times New Roman" w:hAnsi="Times New Roman" w:cs="Times New Roman"/>
          <w:color w:val="222222"/>
          <w:lang w:val="en-US"/>
        </w:rPr>
        <w:t xml:space="preserve"> or</w:t>
      </w:r>
      <w:r w:rsidR="00834EE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="00834EE5" w:rsidRPr="00834EE5">
        <w:rPr>
          <w:rFonts w:ascii="Times New Roman" w:eastAsia="Times New Roman" w:hAnsi="Times New Roman" w:cs="Times New Roman"/>
          <w:color w:val="222222"/>
          <w:vertAlign w:val="superscript"/>
          <w:lang w:val="en-US"/>
        </w:rPr>
        <w:t>b</w:t>
      </w:r>
      <w:r w:rsidR="00834EE5">
        <w:rPr>
          <w:rFonts w:ascii="Times New Roman" w:eastAsia="Times New Roman" w:hAnsi="Times New Roman" w:cs="Times New Roman"/>
          <w:color w:val="222222"/>
          <w:lang w:val="en-US"/>
        </w:rPr>
        <w:t xml:space="preserve">) </w:t>
      </w:r>
      <w:r w:rsidRPr="00233B51">
        <w:rPr>
          <w:rFonts w:ascii="Times New Roman" w:eastAsia="Times New Roman" w:hAnsi="Times New Roman" w:cs="Times New Roman"/>
          <w:color w:val="222222"/>
          <w:lang w:val="en-US"/>
        </w:rPr>
        <w:t xml:space="preserve">differ at </w:t>
      </w:r>
      <w:r w:rsidRPr="00834EE5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p</w:t>
      </w:r>
      <w:r w:rsidRPr="00233B51">
        <w:rPr>
          <w:rFonts w:ascii="Times New Roman" w:eastAsia="Times New Roman" w:hAnsi="Times New Roman" w:cs="Times New Roman"/>
          <w:color w:val="222222"/>
          <w:lang w:val="en-US"/>
        </w:rPr>
        <w:t xml:space="preserve"> &lt; .05 using Holm-Bonferroni adjusted </w:t>
      </w:r>
      <w:r w:rsidRPr="00834EE5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p</w:t>
      </w:r>
      <w:r w:rsidR="00834EE5">
        <w:rPr>
          <w:rFonts w:ascii="Times New Roman" w:eastAsia="Times New Roman" w:hAnsi="Times New Roman" w:cs="Times New Roman"/>
          <w:color w:val="222222"/>
          <w:lang w:val="en-US"/>
        </w:rPr>
        <w:t>-</w:t>
      </w:r>
      <w:r w:rsidRPr="00233B51">
        <w:rPr>
          <w:rFonts w:ascii="Times New Roman" w:eastAsia="Times New Roman" w:hAnsi="Times New Roman" w:cs="Times New Roman"/>
          <w:color w:val="222222"/>
          <w:lang w:val="en-US"/>
        </w:rPr>
        <w:t>values for multiple comparisons.</w:t>
      </w:r>
    </w:p>
    <w:p w14:paraId="23D26663" w14:textId="77777777" w:rsidR="00233B51" w:rsidRPr="00233B51" w:rsidRDefault="00233B51" w:rsidP="00233B51">
      <w:pPr>
        <w:rPr>
          <w:rFonts w:ascii="Times New Roman" w:hAnsi="Times New Roman" w:cs="Times New Roman"/>
          <w:lang w:val="en-US"/>
        </w:rPr>
      </w:pPr>
    </w:p>
    <w:p w14:paraId="5EBBCE26" w14:textId="77777777" w:rsidR="001C5C6B" w:rsidRPr="00233B51" w:rsidRDefault="001C5C6B" w:rsidP="00233B51">
      <w:pPr>
        <w:pStyle w:val="Default"/>
        <w:spacing w:line="276" w:lineRule="auto"/>
        <w:rPr>
          <w:lang w:val="en-US"/>
        </w:rPr>
      </w:pPr>
    </w:p>
    <w:sectPr w:rsidR="001C5C6B" w:rsidRPr="00233B51" w:rsidSect="00233B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1641" w14:textId="77777777" w:rsidR="001E2064" w:rsidRDefault="001E2064" w:rsidP="00C675AF">
      <w:pPr>
        <w:spacing w:after="0" w:line="240" w:lineRule="auto"/>
      </w:pPr>
      <w:r>
        <w:separator/>
      </w:r>
    </w:p>
  </w:endnote>
  <w:endnote w:type="continuationSeparator" w:id="0">
    <w:p w14:paraId="5F9A6886" w14:textId="77777777" w:rsidR="001E2064" w:rsidRDefault="001E2064" w:rsidP="00C6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58005"/>
      <w:docPartObj>
        <w:docPartGallery w:val="Page Numbers (Bottom of Page)"/>
        <w:docPartUnique/>
      </w:docPartObj>
    </w:sdtPr>
    <w:sdtEndPr/>
    <w:sdtContent>
      <w:p w14:paraId="6344D2B1" w14:textId="77777777" w:rsidR="00C675AF" w:rsidRDefault="00C675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E8">
          <w:rPr>
            <w:noProof/>
          </w:rPr>
          <w:t>11</w:t>
        </w:r>
        <w:r>
          <w:fldChar w:fldCharType="end"/>
        </w:r>
      </w:p>
    </w:sdtContent>
  </w:sdt>
  <w:p w14:paraId="6253C470" w14:textId="77777777" w:rsidR="00C675AF" w:rsidRDefault="00C6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F094" w14:textId="77777777" w:rsidR="001E2064" w:rsidRDefault="001E2064" w:rsidP="00C675AF">
      <w:pPr>
        <w:spacing w:after="0" w:line="240" w:lineRule="auto"/>
      </w:pPr>
      <w:r>
        <w:separator/>
      </w:r>
    </w:p>
  </w:footnote>
  <w:footnote w:type="continuationSeparator" w:id="0">
    <w:p w14:paraId="49388050" w14:textId="77777777" w:rsidR="001E2064" w:rsidRDefault="001E2064" w:rsidP="00C6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34E" w14:textId="4ED0921E" w:rsidR="003B630F" w:rsidRDefault="003B630F">
    <w:pPr>
      <w:pStyle w:val="Header"/>
    </w:pPr>
    <w:r>
      <w:rPr>
        <w:rFonts w:ascii="Times New Roman" w:hAnsi="Times New Roman" w:cs="Times New Roman"/>
      </w:rPr>
      <w:t>AGGRESSION AND ALCOHOL USE AMONG VICTIM SUBGROUPS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DC"/>
    <w:rsid w:val="00005451"/>
    <w:rsid w:val="000238DC"/>
    <w:rsid w:val="0005672E"/>
    <w:rsid w:val="00173F10"/>
    <w:rsid w:val="00184033"/>
    <w:rsid w:val="001A5ACA"/>
    <w:rsid w:val="001C5C6B"/>
    <w:rsid w:val="001C682A"/>
    <w:rsid w:val="001C7F11"/>
    <w:rsid w:val="001E2064"/>
    <w:rsid w:val="001F7C4D"/>
    <w:rsid w:val="00233B51"/>
    <w:rsid w:val="002E0809"/>
    <w:rsid w:val="003046C6"/>
    <w:rsid w:val="0033398D"/>
    <w:rsid w:val="00334F94"/>
    <w:rsid w:val="0034191B"/>
    <w:rsid w:val="00364D09"/>
    <w:rsid w:val="00394FB2"/>
    <w:rsid w:val="003B630F"/>
    <w:rsid w:val="003E390F"/>
    <w:rsid w:val="00450E1D"/>
    <w:rsid w:val="00475481"/>
    <w:rsid w:val="0048649A"/>
    <w:rsid w:val="004D4E21"/>
    <w:rsid w:val="00523A05"/>
    <w:rsid w:val="0057400F"/>
    <w:rsid w:val="005E4720"/>
    <w:rsid w:val="006A15C5"/>
    <w:rsid w:val="006C5540"/>
    <w:rsid w:val="007240E7"/>
    <w:rsid w:val="007429D4"/>
    <w:rsid w:val="0074658E"/>
    <w:rsid w:val="007467BA"/>
    <w:rsid w:val="00753BD9"/>
    <w:rsid w:val="007C495C"/>
    <w:rsid w:val="007D63C6"/>
    <w:rsid w:val="008037D5"/>
    <w:rsid w:val="00814A39"/>
    <w:rsid w:val="00834EE5"/>
    <w:rsid w:val="00840F8B"/>
    <w:rsid w:val="00877321"/>
    <w:rsid w:val="008818F6"/>
    <w:rsid w:val="008875E8"/>
    <w:rsid w:val="008B0C86"/>
    <w:rsid w:val="00903738"/>
    <w:rsid w:val="00925EAD"/>
    <w:rsid w:val="009F6EF8"/>
    <w:rsid w:val="00A36AF4"/>
    <w:rsid w:val="00A939E8"/>
    <w:rsid w:val="00AB6041"/>
    <w:rsid w:val="00AC721E"/>
    <w:rsid w:val="00B00B54"/>
    <w:rsid w:val="00B06B15"/>
    <w:rsid w:val="00B25338"/>
    <w:rsid w:val="00B61971"/>
    <w:rsid w:val="00B80637"/>
    <w:rsid w:val="00C20648"/>
    <w:rsid w:val="00C27F5F"/>
    <w:rsid w:val="00C670C1"/>
    <w:rsid w:val="00C675AF"/>
    <w:rsid w:val="00C72CE9"/>
    <w:rsid w:val="00C87A3F"/>
    <w:rsid w:val="00C9119D"/>
    <w:rsid w:val="00CC1FC2"/>
    <w:rsid w:val="00D27409"/>
    <w:rsid w:val="00D850F6"/>
    <w:rsid w:val="00DB3D30"/>
    <w:rsid w:val="00DD0E21"/>
    <w:rsid w:val="00E1745C"/>
    <w:rsid w:val="00E44A63"/>
    <w:rsid w:val="00EB7AAF"/>
    <w:rsid w:val="00EC01B3"/>
    <w:rsid w:val="00EC2062"/>
    <w:rsid w:val="00EE43A8"/>
    <w:rsid w:val="00F00595"/>
    <w:rsid w:val="00F605FB"/>
    <w:rsid w:val="00F843AA"/>
    <w:rsid w:val="00F90EF8"/>
    <w:rsid w:val="00F94A5C"/>
    <w:rsid w:val="00FE33F1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FC9B"/>
  <w15:docId w15:val="{C6A6ACC0-ABDC-4B38-A400-D558F8F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2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EAD"/>
    <w:pPr>
      <w:spacing w:line="240" w:lineRule="auto"/>
    </w:pPr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EAD"/>
    <w:rPr>
      <w:rFonts w:eastAsia="Batang"/>
      <w:sz w:val="20"/>
      <w:szCs w:val="20"/>
    </w:rPr>
  </w:style>
  <w:style w:type="paragraph" w:styleId="NoSpacing">
    <w:name w:val="No Spacing"/>
    <w:uiPriority w:val="1"/>
    <w:qFormat/>
    <w:rsid w:val="00925EAD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37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EF8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cg2ujhdabb">
    <w:name w:val="gcg2ujhdabb"/>
    <w:basedOn w:val="DefaultParagraphFont"/>
    <w:rsid w:val="009F6EF8"/>
  </w:style>
  <w:style w:type="character" w:customStyle="1" w:styleId="gcg2ujhdeab">
    <w:name w:val="gcg2ujhdeab"/>
    <w:basedOn w:val="DefaultParagraphFont"/>
    <w:rsid w:val="009F6EF8"/>
  </w:style>
  <w:style w:type="paragraph" w:styleId="Header">
    <w:name w:val="header"/>
    <w:basedOn w:val="Normal"/>
    <w:link w:val="HeaderChar"/>
    <w:uiPriority w:val="99"/>
    <w:unhideWhenUsed/>
    <w:rsid w:val="00C6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AF"/>
  </w:style>
  <w:style w:type="paragraph" w:styleId="Footer">
    <w:name w:val="footer"/>
    <w:basedOn w:val="Normal"/>
    <w:link w:val="FooterChar"/>
    <w:uiPriority w:val="99"/>
    <w:unhideWhenUsed/>
    <w:rsid w:val="00C6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AF"/>
  </w:style>
  <w:style w:type="paragraph" w:customStyle="1" w:styleId="Geenafstand1">
    <w:name w:val="Geen afstand1"/>
    <w:uiPriority w:val="1"/>
    <w:qFormat/>
    <w:rsid w:val="001C5C6B"/>
    <w:pPr>
      <w:spacing w:after="0" w:line="240" w:lineRule="auto"/>
    </w:pPr>
    <w:rPr>
      <w:rFonts w:ascii="Calibri" w:eastAsia="PMingLiU" w:hAnsi="Calibri" w:cs="Arial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Wijnen, A.M. (Lydia)</dc:creator>
  <cp:lastModifiedBy>Sarah Malamut</cp:lastModifiedBy>
  <cp:revision>3</cp:revision>
  <dcterms:created xsi:type="dcterms:W3CDTF">2022-06-28T14:54:00Z</dcterms:created>
  <dcterms:modified xsi:type="dcterms:W3CDTF">2022-06-28T14:55:00Z</dcterms:modified>
</cp:coreProperties>
</file>