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42" w:rsidRPr="00711EF0" w:rsidRDefault="00166942" w:rsidP="00166942">
      <w:pPr>
        <w:pStyle w:val="NoSpacing"/>
        <w:spacing w:line="480" w:lineRule="auto"/>
        <w:rPr>
          <w:rFonts w:cs="Times New Roman"/>
          <w:sz w:val="20"/>
          <w:szCs w:val="20"/>
          <w:lang w:val="en-US"/>
        </w:rPr>
      </w:pPr>
      <w:r w:rsidRPr="00711EF0">
        <w:rPr>
          <w:rFonts w:cs="Times New Roman"/>
          <w:sz w:val="20"/>
          <w:szCs w:val="20"/>
          <w:lang w:val="en-US"/>
        </w:rPr>
        <w:t>Supplementary Table 1</w:t>
      </w:r>
    </w:p>
    <w:p w:rsidR="00166942" w:rsidRPr="00711EF0" w:rsidRDefault="00166942" w:rsidP="00166942">
      <w:pPr>
        <w:pStyle w:val="NoSpacing"/>
        <w:spacing w:line="480" w:lineRule="auto"/>
        <w:rPr>
          <w:rFonts w:cs="Times New Roman"/>
          <w:i/>
          <w:sz w:val="20"/>
          <w:szCs w:val="20"/>
          <w:lang w:val="en-US"/>
        </w:rPr>
      </w:pPr>
      <w:proofErr w:type="gramStart"/>
      <w:r w:rsidRPr="00711EF0">
        <w:rPr>
          <w:rFonts w:cs="Times New Roman"/>
          <w:i/>
          <w:sz w:val="20"/>
          <w:szCs w:val="20"/>
          <w:lang w:val="en-US"/>
        </w:rPr>
        <w:t>Differences between sample included in final models and sample of those who were not included in the final models.</w:t>
      </w:r>
      <w:proofErr w:type="gramEnd"/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890"/>
        <w:gridCol w:w="1980"/>
        <w:gridCol w:w="810"/>
        <w:gridCol w:w="810"/>
        <w:gridCol w:w="810"/>
      </w:tblGrid>
      <w:tr w:rsidR="00166942" w:rsidRPr="00711EF0" w:rsidTr="00CC0A0C">
        <w:tc>
          <w:tcPr>
            <w:tcW w:w="3888" w:type="dxa"/>
            <w:tcBorders>
              <w:top w:val="single" w:sz="4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11EF0">
              <w:rPr>
                <w:rFonts w:cs="Times New Roman"/>
                <w:b/>
                <w:sz w:val="20"/>
                <w:szCs w:val="20"/>
              </w:rPr>
              <w:t>In final models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11EF0">
              <w:rPr>
                <w:rFonts w:cs="Times New Roman"/>
                <w:b/>
                <w:sz w:val="20"/>
                <w:szCs w:val="20"/>
              </w:rPr>
              <w:t>Not in final models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11EF0">
              <w:rPr>
                <w:rFonts w:cs="Times New Roman"/>
                <w:b/>
                <w:sz w:val="20"/>
                <w:szCs w:val="20"/>
              </w:rPr>
              <w:t>Sample differences</w:t>
            </w:r>
          </w:p>
        </w:tc>
      </w:tr>
      <w:tr w:rsidR="00166942" w:rsidRPr="00711EF0" w:rsidTr="00CC0A0C">
        <w:tc>
          <w:tcPr>
            <w:tcW w:w="3888" w:type="dxa"/>
            <w:tcBorders>
              <w:bottom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M (SD)/F(%)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M (SD)/F(%)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i/>
                <w:sz w:val="20"/>
                <w:szCs w:val="20"/>
              </w:rPr>
              <w:t>t</w:t>
            </w:r>
            <w:r w:rsidRPr="00711EF0">
              <w:rPr>
                <w:rFonts w:cs="Times New Roman"/>
                <w:sz w:val="20"/>
                <w:szCs w:val="20"/>
              </w:rPr>
              <w:t xml:space="preserve"> or χ</w:t>
            </w:r>
            <w:r w:rsidRPr="00711EF0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11EF0">
              <w:rPr>
                <w:rFonts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i/>
                <w:sz w:val="20"/>
                <w:szCs w:val="20"/>
              </w:rPr>
              <w:t>d</w:t>
            </w:r>
            <w:r w:rsidRPr="00711EF0">
              <w:rPr>
                <w:rFonts w:cs="Times New Roman"/>
                <w:sz w:val="20"/>
                <w:szCs w:val="20"/>
              </w:rPr>
              <w:t xml:space="preserve"> or </w:t>
            </w:r>
            <w:r w:rsidRPr="00711EF0">
              <w:rPr>
                <w:rFonts w:cs="Times New Roman"/>
                <w:i/>
                <w:sz w:val="20"/>
                <w:szCs w:val="20"/>
              </w:rPr>
              <w:t>φ</w:t>
            </w:r>
          </w:p>
        </w:tc>
      </w:tr>
      <w:tr w:rsidR="00166942" w:rsidRPr="00711EF0" w:rsidTr="00CC0A0C">
        <w:tc>
          <w:tcPr>
            <w:tcW w:w="3888" w:type="dxa"/>
            <w:tcBorders>
              <w:top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Behavioral problems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0.69 (0.54)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0.83 (0.61)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3.72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&lt;.001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.24</w:t>
            </w:r>
          </w:p>
        </w:tc>
      </w:tr>
      <w:tr w:rsidR="00166942" w:rsidRPr="00711EF0" w:rsidTr="00CC0A0C">
        <w:tc>
          <w:tcPr>
            <w:tcW w:w="3888" w:type="dxa"/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Emotional problems</w:t>
            </w:r>
          </w:p>
        </w:tc>
        <w:tc>
          <w:tcPr>
            <w:tcW w:w="189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0.83 (0.41)</w:t>
            </w:r>
          </w:p>
        </w:tc>
        <w:tc>
          <w:tcPr>
            <w:tcW w:w="198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0.96 (0.48)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4.38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&lt;.001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.29</w:t>
            </w:r>
          </w:p>
        </w:tc>
      </w:tr>
      <w:tr w:rsidR="00166942" w:rsidRPr="00711EF0" w:rsidTr="00CC0A0C">
        <w:tc>
          <w:tcPr>
            <w:tcW w:w="3888" w:type="dxa"/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Urbanicity</w:t>
            </w:r>
          </w:p>
        </w:tc>
        <w:tc>
          <w:tcPr>
            <w:tcW w:w="189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3117.97 (2048.20)</w:t>
            </w:r>
          </w:p>
        </w:tc>
        <w:tc>
          <w:tcPr>
            <w:tcW w:w="198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3447.82 (2024.72)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2.42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.16</w:t>
            </w:r>
          </w:p>
        </w:tc>
      </w:tr>
      <w:tr w:rsidR="00166942" w:rsidRPr="00711EF0" w:rsidTr="00CC0A0C">
        <w:tc>
          <w:tcPr>
            <w:tcW w:w="3888" w:type="dxa"/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SES employment</w:t>
            </w:r>
          </w:p>
        </w:tc>
        <w:tc>
          <w:tcPr>
            <w:tcW w:w="189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0.19 (0.96)</w:t>
            </w:r>
          </w:p>
        </w:tc>
        <w:tc>
          <w:tcPr>
            <w:tcW w:w="198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-0.06 (0.98)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-3.89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&lt;.001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.26</w:t>
            </w:r>
          </w:p>
        </w:tc>
      </w:tr>
      <w:tr w:rsidR="00166942" w:rsidRPr="00711EF0" w:rsidTr="00CC0A0C">
        <w:tc>
          <w:tcPr>
            <w:tcW w:w="3888" w:type="dxa"/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SES income</w:t>
            </w:r>
          </w:p>
        </w:tc>
        <w:tc>
          <w:tcPr>
            <w:tcW w:w="189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-0.04 (0.92)</w:t>
            </w:r>
          </w:p>
        </w:tc>
        <w:tc>
          <w:tcPr>
            <w:tcW w:w="198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-0.15 (1.01)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-1.63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.11</w:t>
            </w:r>
          </w:p>
        </w:tc>
      </w:tr>
      <w:tr w:rsidR="00166942" w:rsidRPr="00711EF0" w:rsidTr="00CC0A0C">
        <w:tc>
          <w:tcPr>
            <w:tcW w:w="3888" w:type="dxa"/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Family SES (low/average/high)</w:t>
            </w:r>
          </w:p>
        </w:tc>
        <w:tc>
          <w:tcPr>
            <w:tcW w:w="189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28/27/45</w:t>
            </w:r>
          </w:p>
        </w:tc>
        <w:tc>
          <w:tcPr>
            <w:tcW w:w="198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40/34/26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23.93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&lt;.001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.19</w:t>
            </w:r>
          </w:p>
        </w:tc>
      </w:tr>
      <w:tr w:rsidR="00166942" w:rsidRPr="00711EF0" w:rsidTr="00CC0A0C">
        <w:tc>
          <w:tcPr>
            <w:tcW w:w="3888" w:type="dxa"/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Gender (male/female)</w:t>
            </w:r>
          </w:p>
        </w:tc>
        <w:tc>
          <w:tcPr>
            <w:tcW w:w="189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50/50</w:t>
            </w:r>
          </w:p>
        </w:tc>
        <w:tc>
          <w:tcPr>
            <w:tcW w:w="198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49/51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.77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-.01</w:t>
            </w:r>
          </w:p>
        </w:tc>
      </w:tr>
      <w:tr w:rsidR="00166942" w:rsidRPr="00711EF0" w:rsidTr="00CC0A0C">
        <w:tc>
          <w:tcPr>
            <w:tcW w:w="3888" w:type="dxa"/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Ethnicity (Dutch/non-western immigrant)</w:t>
            </w:r>
          </w:p>
        </w:tc>
        <w:tc>
          <w:tcPr>
            <w:tcW w:w="189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67/33</w:t>
            </w:r>
          </w:p>
        </w:tc>
        <w:tc>
          <w:tcPr>
            <w:tcW w:w="198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57/43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7.61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-.10</w:t>
            </w:r>
          </w:p>
        </w:tc>
      </w:tr>
      <w:tr w:rsidR="00166942" w:rsidRPr="00711EF0" w:rsidTr="00CC0A0C">
        <w:tc>
          <w:tcPr>
            <w:tcW w:w="3888" w:type="dxa"/>
            <w:tcBorders>
              <w:bottom w:val="single" w:sz="4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Intervention status (intervention/control)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68/32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55/45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14.41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&lt;.001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66942" w:rsidRPr="00711EF0" w:rsidRDefault="00166942" w:rsidP="00CC0A0C">
            <w:pPr>
              <w:pStyle w:val="NoSpacing"/>
              <w:spacing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711EF0">
              <w:rPr>
                <w:rFonts w:cs="Times New Roman"/>
                <w:sz w:val="20"/>
                <w:szCs w:val="20"/>
              </w:rPr>
              <w:t>.13</w:t>
            </w:r>
          </w:p>
        </w:tc>
      </w:tr>
    </w:tbl>
    <w:p w:rsidR="00166942" w:rsidRDefault="00166942" w:rsidP="00166942">
      <w:pPr>
        <w:pStyle w:val="NoSpacing"/>
        <w:spacing w:line="480" w:lineRule="auto"/>
        <w:rPr>
          <w:rFonts w:cs="Times New Roman"/>
          <w:sz w:val="20"/>
          <w:szCs w:val="20"/>
          <w:lang w:val="en-US"/>
        </w:rPr>
      </w:pPr>
      <w:r w:rsidRPr="00711EF0">
        <w:rPr>
          <w:rFonts w:cs="Times New Roman"/>
          <w:i/>
          <w:sz w:val="20"/>
          <w:szCs w:val="20"/>
          <w:lang w:val="en-US"/>
        </w:rPr>
        <w:t>Note</w:t>
      </w:r>
      <w:r w:rsidRPr="00711EF0">
        <w:rPr>
          <w:rFonts w:cs="Times New Roman"/>
          <w:sz w:val="20"/>
          <w:szCs w:val="20"/>
          <w:lang w:val="en-US"/>
        </w:rPr>
        <w:t xml:space="preserve">. F = frequency; SES = socioeconomic status. Sample sizes differed per model: </w:t>
      </w:r>
      <w:r w:rsidRPr="00711EF0">
        <w:rPr>
          <w:rFonts w:cs="Times New Roman"/>
          <w:i/>
          <w:sz w:val="20"/>
          <w:szCs w:val="20"/>
          <w:lang w:val="en-US"/>
        </w:rPr>
        <w:t>n</w:t>
      </w:r>
      <w:r w:rsidRPr="00711EF0">
        <w:rPr>
          <w:rFonts w:cs="Times New Roman"/>
          <w:sz w:val="20"/>
          <w:szCs w:val="20"/>
          <w:lang w:val="en-US"/>
        </w:rPr>
        <w:t xml:space="preserve"> = 435 included in the final models, </w:t>
      </w:r>
      <w:r w:rsidRPr="00711EF0">
        <w:rPr>
          <w:rFonts w:cs="Times New Roman"/>
          <w:i/>
          <w:sz w:val="20"/>
          <w:szCs w:val="20"/>
          <w:lang w:val="en-US"/>
        </w:rPr>
        <w:t>n</w:t>
      </w:r>
      <w:r w:rsidRPr="00711EF0">
        <w:rPr>
          <w:rFonts w:cs="Times New Roman"/>
          <w:sz w:val="20"/>
          <w:szCs w:val="20"/>
          <w:lang w:val="en-US"/>
        </w:rPr>
        <w:t xml:space="preserve"> = 224 not included in the final models pertaining to family SES, </w:t>
      </w:r>
      <w:r w:rsidRPr="00711EF0">
        <w:rPr>
          <w:rFonts w:cs="Times New Roman"/>
          <w:i/>
          <w:sz w:val="20"/>
          <w:szCs w:val="20"/>
          <w:lang w:val="en-US"/>
        </w:rPr>
        <w:t>n</w:t>
      </w:r>
      <w:r w:rsidRPr="00711EF0">
        <w:rPr>
          <w:rFonts w:cs="Times New Roman"/>
          <w:sz w:val="20"/>
          <w:szCs w:val="20"/>
          <w:lang w:val="en-US"/>
        </w:rPr>
        <w:t xml:space="preserve"> = 291 pertaining to ethnicity, </w:t>
      </w:r>
      <w:r w:rsidRPr="00711EF0">
        <w:rPr>
          <w:rFonts w:cs="Times New Roman"/>
          <w:i/>
          <w:sz w:val="20"/>
          <w:szCs w:val="20"/>
          <w:lang w:val="en-US"/>
        </w:rPr>
        <w:t>n</w:t>
      </w:r>
      <w:r w:rsidRPr="00711EF0">
        <w:rPr>
          <w:rFonts w:cs="Times New Roman"/>
          <w:sz w:val="20"/>
          <w:szCs w:val="20"/>
          <w:lang w:val="en-US"/>
        </w:rPr>
        <w:t xml:space="preserve"> = 460 pertaining to all other comparisons. </w:t>
      </w:r>
      <w:proofErr w:type="spellStart"/>
      <w:r w:rsidRPr="00711EF0">
        <w:rPr>
          <w:rFonts w:cs="Times New Roman"/>
          <w:sz w:val="20"/>
          <w:szCs w:val="20"/>
          <w:lang w:val="en-US"/>
        </w:rPr>
        <w:t>Urbanicity</w:t>
      </w:r>
      <w:proofErr w:type="spellEnd"/>
      <w:r w:rsidRPr="00711EF0">
        <w:rPr>
          <w:rFonts w:cs="Times New Roman"/>
          <w:sz w:val="20"/>
          <w:szCs w:val="20"/>
          <w:lang w:val="en-US"/>
        </w:rPr>
        <w:t xml:space="preserve">, SES employment and SES income were measured at the neighborhood level. For continuous variables (i.e., behavioral problems, emotional problems, </w:t>
      </w:r>
      <w:proofErr w:type="spellStart"/>
      <w:r w:rsidRPr="00711EF0">
        <w:rPr>
          <w:rFonts w:cs="Times New Roman"/>
          <w:sz w:val="20"/>
          <w:szCs w:val="20"/>
          <w:lang w:val="en-US"/>
        </w:rPr>
        <w:t>urbanicity</w:t>
      </w:r>
      <w:proofErr w:type="spellEnd"/>
      <w:r w:rsidRPr="00711EF0">
        <w:rPr>
          <w:rFonts w:cs="Times New Roman"/>
          <w:sz w:val="20"/>
          <w:szCs w:val="20"/>
          <w:lang w:val="en-US"/>
        </w:rPr>
        <w:t xml:space="preserve">, SES employment and SES income) </w:t>
      </w:r>
      <w:r w:rsidRPr="00711EF0">
        <w:rPr>
          <w:rFonts w:cs="Times New Roman"/>
          <w:i/>
          <w:sz w:val="20"/>
          <w:szCs w:val="20"/>
          <w:lang w:val="en-US"/>
        </w:rPr>
        <w:t>t</w:t>
      </w:r>
      <w:r w:rsidRPr="00711EF0">
        <w:rPr>
          <w:rFonts w:cs="Times New Roman"/>
          <w:sz w:val="20"/>
          <w:szCs w:val="20"/>
          <w:lang w:val="en-US"/>
        </w:rPr>
        <w:t xml:space="preserve"> and </w:t>
      </w:r>
      <w:r w:rsidRPr="00711EF0">
        <w:rPr>
          <w:rFonts w:cs="Times New Roman"/>
          <w:i/>
          <w:sz w:val="20"/>
          <w:szCs w:val="20"/>
          <w:lang w:val="en-US"/>
        </w:rPr>
        <w:t>d</w:t>
      </w:r>
      <w:r w:rsidRPr="00711EF0">
        <w:rPr>
          <w:rFonts w:cs="Times New Roman"/>
          <w:sz w:val="20"/>
          <w:szCs w:val="20"/>
          <w:lang w:val="en-US"/>
        </w:rPr>
        <w:t xml:space="preserve"> statistics are reported, for categorical variables (i.e., family SES, gender, ethnicity and intervention status) χ</w:t>
      </w:r>
      <w:r w:rsidRPr="00711EF0">
        <w:rPr>
          <w:rFonts w:cs="Times New Roman"/>
          <w:sz w:val="20"/>
          <w:szCs w:val="20"/>
          <w:vertAlign w:val="superscript"/>
          <w:lang w:val="en-US"/>
        </w:rPr>
        <w:t xml:space="preserve">2 </w:t>
      </w:r>
      <w:r w:rsidRPr="00711EF0">
        <w:rPr>
          <w:rFonts w:cs="Times New Roman"/>
          <w:sz w:val="20"/>
          <w:szCs w:val="20"/>
          <w:lang w:val="en-US"/>
        </w:rPr>
        <w:t xml:space="preserve">and </w:t>
      </w:r>
      <w:r w:rsidRPr="00711EF0">
        <w:rPr>
          <w:rFonts w:cs="Times New Roman"/>
          <w:i/>
          <w:sz w:val="20"/>
          <w:szCs w:val="20"/>
          <w:lang w:val="en-US"/>
        </w:rPr>
        <w:t xml:space="preserve">φ </w:t>
      </w:r>
      <w:r w:rsidRPr="00711EF0">
        <w:rPr>
          <w:rFonts w:cs="Times New Roman"/>
          <w:sz w:val="20"/>
          <w:szCs w:val="20"/>
          <w:lang w:val="en-US"/>
        </w:rPr>
        <w:t>statistics are reported.</w:t>
      </w:r>
    </w:p>
    <w:p w:rsidR="00166942" w:rsidRDefault="00166942" w:rsidP="00166942">
      <w:pPr>
        <w:pStyle w:val="NoSpacing"/>
        <w:spacing w:line="480" w:lineRule="auto"/>
        <w:rPr>
          <w:rFonts w:cs="Times New Roman"/>
          <w:sz w:val="20"/>
          <w:szCs w:val="20"/>
          <w:lang w:val="en-US"/>
        </w:rPr>
      </w:pPr>
    </w:p>
    <w:p w:rsidR="00166942" w:rsidRDefault="00166942" w:rsidP="00166942">
      <w:pPr>
        <w:pStyle w:val="NoSpacing"/>
        <w:spacing w:line="480" w:lineRule="auto"/>
        <w:rPr>
          <w:rFonts w:cs="Times New Roman"/>
          <w:sz w:val="20"/>
          <w:szCs w:val="20"/>
          <w:lang w:val="en-US"/>
        </w:rPr>
      </w:pPr>
    </w:p>
    <w:p w:rsidR="00166942" w:rsidRDefault="00166942" w:rsidP="00166942">
      <w:pPr>
        <w:pStyle w:val="NoSpacing"/>
        <w:spacing w:line="480" w:lineRule="auto"/>
        <w:rPr>
          <w:rFonts w:cs="Times New Roman"/>
          <w:sz w:val="20"/>
          <w:szCs w:val="20"/>
          <w:lang w:val="en-US"/>
        </w:rPr>
      </w:pPr>
    </w:p>
    <w:p w:rsidR="00805CA8" w:rsidRDefault="00805CA8">
      <w:bookmarkStart w:id="0" w:name="_GoBack"/>
      <w:bookmarkEnd w:id="0"/>
    </w:p>
    <w:sectPr w:rsidR="0080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42"/>
    <w:rsid w:val="000546CA"/>
    <w:rsid w:val="00054B38"/>
    <w:rsid w:val="00085D6C"/>
    <w:rsid w:val="000F0A97"/>
    <w:rsid w:val="001124E1"/>
    <w:rsid w:val="0013375A"/>
    <w:rsid w:val="0014013D"/>
    <w:rsid w:val="00144BEA"/>
    <w:rsid w:val="00166942"/>
    <w:rsid w:val="001673F2"/>
    <w:rsid w:val="001754C0"/>
    <w:rsid w:val="001C4A49"/>
    <w:rsid w:val="001F187E"/>
    <w:rsid w:val="002513D7"/>
    <w:rsid w:val="0027057C"/>
    <w:rsid w:val="00272053"/>
    <w:rsid w:val="002B0F9C"/>
    <w:rsid w:val="002B6679"/>
    <w:rsid w:val="002C00DE"/>
    <w:rsid w:val="002E0B8D"/>
    <w:rsid w:val="003116C6"/>
    <w:rsid w:val="0031238C"/>
    <w:rsid w:val="00330381"/>
    <w:rsid w:val="00364EFB"/>
    <w:rsid w:val="00373DDB"/>
    <w:rsid w:val="003A5DDD"/>
    <w:rsid w:val="003E7B59"/>
    <w:rsid w:val="003F7540"/>
    <w:rsid w:val="004215BB"/>
    <w:rsid w:val="00451825"/>
    <w:rsid w:val="004635BA"/>
    <w:rsid w:val="00477ACA"/>
    <w:rsid w:val="004A322A"/>
    <w:rsid w:val="004B2737"/>
    <w:rsid w:val="004C69A3"/>
    <w:rsid w:val="00574C24"/>
    <w:rsid w:val="005B52E4"/>
    <w:rsid w:val="00612193"/>
    <w:rsid w:val="006354AE"/>
    <w:rsid w:val="006A494B"/>
    <w:rsid w:val="006F251F"/>
    <w:rsid w:val="00723168"/>
    <w:rsid w:val="0074010D"/>
    <w:rsid w:val="0076164A"/>
    <w:rsid w:val="00805CA8"/>
    <w:rsid w:val="00810935"/>
    <w:rsid w:val="008652C0"/>
    <w:rsid w:val="0089316B"/>
    <w:rsid w:val="008A6637"/>
    <w:rsid w:val="008B419E"/>
    <w:rsid w:val="008B6F33"/>
    <w:rsid w:val="008F040E"/>
    <w:rsid w:val="00920BA1"/>
    <w:rsid w:val="0092231B"/>
    <w:rsid w:val="00973734"/>
    <w:rsid w:val="009D1B3C"/>
    <w:rsid w:val="009E1669"/>
    <w:rsid w:val="00A247C7"/>
    <w:rsid w:val="00A86BFC"/>
    <w:rsid w:val="00B35D59"/>
    <w:rsid w:val="00B74419"/>
    <w:rsid w:val="00B86DA4"/>
    <w:rsid w:val="00BD1509"/>
    <w:rsid w:val="00BD6BD8"/>
    <w:rsid w:val="00BD7DB1"/>
    <w:rsid w:val="00BF0B15"/>
    <w:rsid w:val="00BF7C08"/>
    <w:rsid w:val="00CC1900"/>
    <w:rsid w:val="00CE6C02"/>
    <w:rsid w:val="00D34CC9"/>
    <w:rsid w:val="00D97D57"/>
    <w:rsid w:val="00DE07FE"/>
    <w:rsid w:val="00DE64C9"/>
    <w:rsid w:val="00E41792"/>
    <w:rsid w:val="00E4418D"/>
    <w:rsid w:val="00F37C2D"/>
    <w:rsid w:val="00F91A7B"/>
    <w:rsid w:val="00FD6417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6942"/>
    <w:pPr>
      <w:spacing w:after="0" w:line="240" w:lineRule="auto"/>
    </w:pPr>
    <w:rPr>
      <w:rFonts w:ascii="Times New Roman" w:hAnsi="Times New Roman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66942"/>
    <w:rPr>
      <w:rFonts w:ascii="Times New Roman" w:hAnsi="Times New Roman"/>
      <w:lang w:val="nl-NL"/>
    </w:rPr>
  </w:style>
  <w:style w:type="table" w:styleId="TableGrid">
    <w:name w:val="Table Grid"/>
    <w:basedOn w:val="TableNormal"/>
    <w:uiPriority w:val="59"/>
    <w:rsid w:val="00166942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6942"/>
    <w:pPr>
      <w:spacing w:after="0" w:line="240" w:lineRule="auto"/>
    </w:pPr>
    <w:rPr>
      <w:rFonts w:ascii="Times New Roman" w:hAnsi="Times New Roman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66942"/>
    <w:rPr>
      <w:rFonts w:ascii="Times New Roman" w:hAnsi="Times New Roman"/>
      <w:lang w:val="nl-NL"/>
    </w:rPr>
  </w:style>
  <w:style w:type="table" w:styleId="TableGrid">
    <w:name w:val="Table Grid"/>
    <w:basedOn w:val="TableNormal"/>
    <w:uiPriority w:val="59"/>
    <w:rsid w:val="00166942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 Saklani</dc:creator>
  <cp:lastModifiedBy>Vimal Saklani</cp:lastModifiedBy>
  <cp:revision>1</cp:revision>
  <dcterms:created xsi:type="dcterms:W3CDTF">2018-03-05T11:50:00Z</dcterms:created>
  <dcterms:modified xsi:type="dcterms:W3CDTF">2018-03-05T11:51:00Z</dcterms:modified>
</cp:coreProperties>
</file>