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B0108" w14:textId="77777777" w:rsidR="00AF0A84" w:rsidRPr="00DC3AD6" w:rsidRDefault="00AF0A84" w:rsidP="00AF0A84">
      <w:pPr>
        <w:pStyle w:val="Normal1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AD6">
        <w:rPr>
          <w:rFonts w:ascii="Times New Roman" w:eastAsia="Times New Roman" w:hAnsi="Times New Roman" w:cs="Times New Roman"/>
          <w:sz w:val="24"/>
          <w:szCs w:val="24"/>
        </w:rPr>
        <w:t>Supplementary Materials for “Vicarious Effort-Based Decision-Making in Autism Spectrum Disorders”</w:t>
      </w:r>
    </w:p>
    <w:p w14:paraId="07E34170" w14:textId="77777777" w:rsidR="00AF0A84" w:rsidRPr="00DC3AD6" w:rsidRDefault="00AF0A84" w:rsidP="00AF0A84">
      <w:pPr>
        <w:pStyle w:val="Normal1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521BA3" w14:textId="49DC6769" w:rsidR="00AF0A84" w:rsidRPr="00DC3AD6" w:rsidRDefault="00AF0A84" w:rsidP="00AF0A84">
      <w:pPr>
        <w:pStyle w:val="Normal1"/>
        <w:spacing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AD6">
        <w:rPr>
          <w:rFonts w:ascii="Times New Roman" w:eastAsia="Times New Roman" w:hAnsi="Times New Roman" w:cs="Times New Roman"/>
          <w:sz w:val="24"/>
          <w:szCs w:val="24"/>
        </w:rPr>
        <w:t xml:space="preserve">*Mosner, M.G., </w:t>
      </w:r>
      <w:r w:rsidRPr="00DC3AD6">
        <w:rPr>
          <w:rFonts w:ascii="Times New Roman" w:eastAsia="Times New Roman" w:hAnsi="Times New Roman" w:cs="Times New Roman"/>
          <w:bCs/>
          <w:sz w:val="24"/>
          <w:szCs w:val="24"/>
        </w:rPr>
        <w:t xml:space="preserve">Kinard, J.L., McWeeny, S., Shah, J.S., </w:t>
      </w:r>
      <w:r w:rsidRPr="009A591A">
        <w:rPr>
          <w:rFonts w:ascii="Times New Roman" w:eastAsia="Times New Roman" w:hAnsi="Times New Roman" w:cs="Times New Roman"/>
          <w:bCs/>
          <w:sz w:val="24"/>
          <w:szCs w:val="24"/>
        </w:rPr>
        <w:t>Markiewitz, N.D</w:t>
      </w:r>
      <w:r w:rsidRPr="00714F5A">
        <w:rPr>
          <w:rFonts w:ascii="Times New Roman" w:eastAsia="Times New Roman" w:hAnsi="Times New Roman" w:cs="Times New Roman"/>
          <w:bCs/>
          <w:sz w:val="24"/>
          <w:szCs w:val="24"/>
        </w:rPr>
        <w:t>.,</w:t>
      </w:r>
      <w:r w:rsidRPr="00714F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14F5A">
        <w:rPr>
          <w:rFonts w:ascii="Times New Roman" w:eastAsia="Times New Roman" w:hAnsi="Times New Roman" w:cs="Times New Roman"/>
          <w:bCs/>
          <w:sz w:val="24"/>
          <w:szCs w:val="24"/>
        </w:rPr>
        <w:t>Damiano-Goodwin, C.R.</w:t>
      </w:r>
      <w:r w:rsidRPr="00714F5A">
        <w:rPr>
          <w:rFonts w:ascii="Times New Roman" w:eastAsia="Times New Roman" w:hAnsi="Times New Roman" w:cs="Times New Roman"/>
          <w:bCs/>
          <w:sz w:val="24"/>
          <w:szCs w:val="24"/>
        </w:rPr>
        <w:t>, Burchinal, M.R., Rutherford, H.J.V., Greene, R.K., Treadway, M.</w:t>
      </w:r>
      <w:r w:rsidRPr="00DC3AD6">
        <w:rPr>
          <w:rFonts w:ascii="Times New Roman" w:eastAsia="Times New Roman" w:hAnsi="Times New Roman" w:cs="Times New Roman"/>
          <w:bCs/>
          <w:sz w:val="24"/>
          <w:szCs w:val="24"/>
        </w:rPr>
        <w:t>T., &amp; Dichter, G.S.</w:t>
      </w:r>
    </w:p>
    <w:p w14:paraId="4CFB0DA9" w14:textId="77777777" w:rsidR="00AF0A84" w:rsidRPr="00DC3AD6" w:rsidRDefault="00AF0A84" w:rsidP="00AF0A84">
      <w:pPr>
        <w:pStyle w:val="Normal1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C3AD6">
        <w:rPr>
          <w:rFonts w:ascii="Times New Roman" w:eastAsia="Times New Roman" w:hAnsi="Times New Roman" w:cs="Times New Roman"/>
          <w:bCs/>
          <w:sz w:val="24"/>
          <w:szCs w:val="24"/>
        </w:rPr>
        <w:t>Submitted to Journal of Autism and Developmental Disorders</w:t>
      </w:r>
    </w:p>
    <w:p w14:paraId="5647F73E" w14:textId="77777777" w:rsidR="00AF0A84" w:rsidRPr="00DC3AD6" w:rsidRDefault="00AF0A84" w:rsidP="00AF0A84">
      <w:pPr>
        <w:spacing w:line="480" w:lineRule="auto"/>
        <w:jc w:val="center"/>
        <w:rPr>
          <w:rFonts w:ascii="Times New Roman" w:hAnsi="Times New Roman" w:cs="Times New Roman"/>
        </w:rPr>
      </w:pPr>
    </w:p>
    <w:p w14:paraId="64768329" w14:textId="0917FCAD" w:rsidR="00AF0A84" w:rsidRPr="00B53CE9" w:rsidRDefault="00AF0A84" w:rsidP="00B53CE9">
      <w:pPr>
        <w:spacing w:line="480" w:lineRule="auto"/>
        <w:jc w:val="center"/>
        <w:rPr>
          <w:rFonts w:ascii="Times New Roman" w:hAnsi="Times New Roman" w:cs="Times New Roman"/>
        </w:rPr>
      </w:pPr>
      <w:r w:rsidRPr="00DC3AD6">
        <w:rPr>
          <w:rFonts w:ascii="Times New Roman" w:hAnsi="Times New Roman" w:cs="Times New Roman"/>
        </w:rPr>
        <w:t xml:space="preserve">*Correspondence concerning this article should be addressed to: Maya G. Mosner, Department of Psychology and Neuroscience, University of North Carolina at Chapel Hill, Chapel Hill, NC, USA; </w:t>
      </w:r>
      <w:hyperlink r:id="rId6" w:history="1">
        <w:r w:rsidRPr="00DC3AD6">
          <w:rPr>
            <w:rStyle w:val="Hyperlink"/>
            <w:rFonts w:ascii="Times New Roman" w:hAnsi="Times New Roman" w:cs="Times New Roman"/>
          </w:rPr>
          <w:t>mosner@email.unc.edu</w:t>
        </w:r>
      </w:hyperlink>
      <w:r w:rsidRPr="00DC3AD6">
        <w:rPr>
          <w:rFonts w:ascii="Times New Roman" w:hAnsi="Times New Roman" w:cs="Times New Roman"/>
        </w:rPr>
        <w:t>; (919) 443-9092.</w:t>
      </w:r>
      <w:r w:rsidRPr="00DC3AD6">
        <w:rPr>
          <w:rFonts w:ascii="Times New Roman" w:eastAsia="Times New Roman" w:hAnsi="Times New Roman" w:cs="Times New Roman"/>
        </w:rPr>
        <w:br w:type="page"/>
      </w:r>
      <w:r w:rsidRPr="00DC3AD6">
        <w:rPr>
          <w:rFonts w:ascii="Times New Roman" w:hAnsi="Times New Roman" w:cs="Times New Roman"/>
          <w:b/>
        </w:rPr>
        <w:lastRenderedPageBreak/>
        <w:t>Supplementary Analyses</w:t>
      </w:r>
    </w:p>
    <w:p w14:paraId="4EA56828" w14:textId="77777777" w:rsidR="00AA4F65" w:rsidRDefault="00AA4F65" w:rsidP="00453AA6">
      <w:pPr>
        <w:spacing w:line="480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Difference scores results</w:t>
      </w:r>
    </w:p>
    <w:p w14:paraId="3A99AA1D" w14:textId="524F02EA" w:rsidR="00AA4F65" w:rsidRDefault="00AA4F65" w:rsidP="00AA4F65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Difference scores were calculated to investigate sensitivity to change in reward parameters. Separate ANOVAs were conducted to examine th</w:t>
      </w:r>
      <w:r w:rsidR="00C86345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effect of increasing reward magnitude and reward probability levels on percentage of hard task choices for adolescents with and without ASD across conditions (Self, Other). </w:t>
      </w:r>
      <w:r w:rsidR="00CC630F">
        <w:rPr>
          <w:rFonts w:ascii="Times New Roman" w:eastAsia="Times New Roman" w:hAnsi="Times New Roman" w:cs="Times New Roman"/>
        </w:rPr>
        <w:t>The present results are compared to findings from the primary omnibus ANOVA presented in the main manuscript.</w:t>
      </w:r>
    </w:p>
    <w:p w14:paraId="341FDD5F" w14:textId="38B13616" w:rsidR="00AA4F65" w:rsidRDefault="00AA4F65" w:rsidP="00AA4F65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The first omnibus model was a 2 (Group: ASD, TDC) x 3 (Change in </w:t>
      </w:r>
      <w:r w:rsidRPr="00DC3AD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Magnitude: </w:t>
      </w:r>
      <w:r>
        <w:rPr>
          <w:rFonts w:ascii="Times New Roman" w:eastAsia="Times New Roman" w:hAnsi="Times New Roman" w:cs="Times New Roman"/>
        </w:rPr>
        <w:t xml:space="preserve">Large vs. Small; Large vs. Medium; Medium vs. Small) </w:t>
      </w:r>
      <w:r w:rsidRPr="00DC3AD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× 2 (Agency: Se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lf, Other) repeated measures AN</w:t>
      </w:r>
      <w:r w:rsidRPr="00DC3AD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OVA</w:t>
      </w:r>
      <w:r>
        <w:rPr>
          <w:rFonts w:ascii="Times New Roman" w:eastAsia="Times New Roman" w:hAnsi="Times New Roman" w:cs="Times New Roman"/>
        </w:rPr>
        <w:t xml:space="preserve">. Similar to results of the primary omnibus ANOVA, results revealed an Agency </w:t>
      </w:r>
      <w:r w:rsidRPr="001A5C0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×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Group </w:t>
      </w:r>
      <w:r w:rsidRPr="001A5C0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×</w:t>
      </w:r>
      <w:r>
        <w:rPr>
          <w:rFonts w:ascii="Times New Roman" w:eastAsia="Times New Roman" w:hAnsi="Times New Roman" w:cs="Times New Roman"/>
        </w:rPr>
        <w:t xml:space="preserve"> Change in Magnitude interaction, 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</w:rPr>
        <w:t xml:space="preserve">(2,79)=3.80,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</w:rPr>
        <w:t xml:space="preserve">=.03, reflecting that groups differed on the influence of Change in Magnitude in the Self relative to the Other condition. Additionally, there was a main effect of Change in Magnitude, </w:t>
      </w:r>
      <w:r w:rsidRPr="003968AD"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</w:rPr>
        <w:t xml:space="preserve">(2,79)=50.63,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</w:rPr>
        <w:t xml:space="preserve">&lt;.0001, with greater differences between reward magnitude levels associated with greater percentage of hard task choices across groups. Contrary to primary analyses, there was no Agency </w:t>
      </w:r>
      <w:r w:rsidRPr="00DC3AD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×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Group interaction.</w:t>
      </w:r>
    </w:p>
    <w:p w14:paraId="457C6040" w14:textId="1F93C1CE" w:rsidR="00AA4F65" w:rsidRDefault="00AA4F65" w:rsidP="00AA4F65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 second omnibus model was a</w:t>
      </w:r>
      <w:r>
        <w:rPr>
          <w:rFonts w:ascii="Times New Roman" w:eastAsia="Times New Roman" w:hAnsi="Times New Roman" w:cs="Times New Roman"/>
        </w:rPr>
        <w:t xml:space="preserve"> 2 (Group: ASD, TDC) x 3 (Change in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Probability</w:t>
      </w:r>
      <w:r w:rsidRPr="00DC3AD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High vs. Low; High vs. Medium; Medium vs. Low) </w:t>
      </w:r>
      <w:r w:rsidRPr="00DC3AD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× 2 (Agency: Se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lf, Other) repeated measures AN</w:t>
      </w:r>
      <w:r w:rsidRPr="00DC3AD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OVA</w:t>
      </w:r>
      <w:r>
        <w:rPr>
          <w:rFonts w:ascii="Times New Roman" w:eastAsia="Times New Roman" w:hAnsi="Times New Roman" w:cs="Times New Roman"/>
        </w:rPr>
        <w:t xml:space="preserve">. Results revealed an Agency </w:t>
      </w:r>
      <w:r w:rsidRPr="00DC3AD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×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Change in Probability interaction, </w:t>
      </w:r>
      <w:r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F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(2,79)=5.70, </w:t>
      </w:r>
      <w:r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p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=.005, indicating that responses to increases in reward probability </w:t>
      </w:r>
      <w:r w:rsidRPr="00CC6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differed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for Self and Other condition</w:t>
      </w:r>
      <w:r w:rsidRPr="00CC6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</w:t>
      </w:r>
      <w:r w:rsidR="00CC630F" w:rsidRPr="00CC6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This finding was not observed in the primary omnibus ANOVA. In addition, there was a main effect of Change in Probability, </w:t>
      </w:r>
      <w:r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F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(2,79)=46.33, </w:t>
      </w:r>
      <w:r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p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&lt;.0001, </w:t>
      </w:r>
      <w:r>
        <w:rPr>
          <w:rFonts w:ascii="Times New Roman" w:eastAsia="Times New Roman" w:hAnsi="Times New Roman" w:cs="Times New Roman"/>
        </w:rPr>
        <w:t xml:space="preserve">with greater differences between reward probability levels associated with greater percentage of hard task choices across groups. </w:t>
      </w:r>
    </w:p>
    <w:p w14:paraId="75B7E218" w14:textId="77777777" w:rsidR="004D383F" w:rsidRPr="001A5C05" w:rsidRDefault="004D383F" w:rsidP="004D383F">
      <w:pPr>
        <w:pStyle w:val="Normal1"/>
        <w:spacing w:after="0"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A69B578" w14:textId="1FC54032" w:rsidR="004D383F" w:rsidRPr="001A5C05" w:rsidRDefault="004D383F" w:rsidP="004D383F">
      <w:pPr>
        <w:pStyle w:val="Normal1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C05">
        <w:rPr>
          <w:rFonts w:ascii="Times New Roman" w:eastAsia="Times New Roman" w:hAnsi="Times New Roman" w:cs="Times New Roman"/>
          <w:sz w:val="24"/>
          <w:szCs w:val="24"/>
        </w:rPr>
        <w:t xml:space="preserve">----------------Insert Table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A5C05">
        <w:rPr>
          <w:rFonts w:ascii="Times New Roman" w:eastAsia="Times New Roman" w:hAnsi="Times New Roman" w:cs="Times New Roman"/>
          <w:sz w:val="24"/>
          <w:szCs w:val="24"/>
        </w:rPr>
        <w:t xml:space="preserve"> Here----------------</w:t>
      </w:r>
    </w:p>
    <w:p w14:paraId="34639516" w14:textId="77777777" w:rsidR="004D383F" w:rsidRPr="001A5C05" w:rsidRDefault="004D383F" w:rsidP="004D383F">
      <w:pPr>
        <w:pStyle w:val="Normal1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5B3452" w14:textId="458F7357" w:rsidR="004D383F" w:rsidRPr="001A5C05" w:rsidRDefault="004D383F" w:rsidP="004D383F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----------------Insert Table 8</w:t>
      </w:r>
      <w:r w:rsidRPr="001A5C05">
        <w:rPr>
          <w:rFonts w:ascii="Times New Roman" w:eastAsia="Times New Roman" w:hAnsi="Times New Roman" w:cs="Times New Roman"/>
        </w:rPr>
        <w:t xml:space="preserve"> Here----------------</w:t>
      </w:r>
    </w:p>
    <w:p w14:paraId="4F854FD1" w14:textId="77777777" w:rsidR="00AA4F65" w:rsidRDefault="00AA4F65" w:rsidP="00AA4F65">
      <w:pPr>
        <w:rPr>
          <w:rFonts w:ascii="Times New Roman" w:eastAsia="Times New Roman" w:hAnsi="Times New Roman" w:cs="Times New Roman"/>
        </w:rPr>
      </w:pPr>
    </w:p>
    <w:p w14:paraId="39512692" w14:textId="77777777" w:rsidR="00367A9D" w:rsidRDefault="00367A9D" w:rsidP="00E73D5F">
      <w:pPr>
        <w:spacing w:line="480" w:lineRule="auto"/>
        <w:ind w:firstLine="720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</w:p>
    <w:p w14:paraId="52DB2ACA" w14:textId="48BCE627" w:rsidR="006E2A39" w:rsidRPr="00E73D5F" w:rsidRDefault="006E2A39" w:rsidP="00E73D5F">
      <w:pPr>
        <w:spacing w:line="480" w:lineRule="auto"/>
        <w:ind w:firstLine="720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  <w:r w:rsidRPr="00AF0A84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Follow-Up Analyses</w:t>
      </w:r>
      <w:r w:rsidR="00E73D5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. </w:t>
      </w:r>
      <w:r w:rsidRPr="001A5C0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Results for follow-up between group analyses are presented in Table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7</w:t>
      </w:r>
      <w:r w:rsidRPr="001A5C0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revealing several group differences in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change in </w:t>
      </w:r>
      <w:r w:rsidRPr="001A5C0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effort-based decision-making across Probability and Magnitude for both Self and Other. Results for within-group a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nalyses are included in Table 8</w:t>
      </w:r>
      <w:r w:rsidRPr="001A5C0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 reveal differences between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difference scores for </w:t>
      </w:r>
      <w:r w:rsidRPr="001A5C0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Self and Other effort-based decision-making within the ASD and TDC groups. </w:t>
      </w:r>
    </w:p>
    <w:p w14:paraId="6760D237" w14:textId="77777777" w:rsidR="0078348B" w:rsidRDefault="0078348B">
      <w:r>
        <w:rPr>
          <w:b/>
          <w:bCs/>
        </w:rPr>
        <w:br w:type="page"/>
      </w:r>
    </w:p>
    <w:tbl>
      <w:tblPr>
        <w:tblStyle w:val="PlainTable21"/>
        <w:tblW w:w="9482" w:type="dxa"/>
        <w:tblLook w:val="04A0" w:firstRow="1" w:lastRow="0" w:firstColumn="1" w:lastColumn="0" w:noHBand="0" w:noVBand="1"/>
      </w:tblPr>
      <w:tblGrid>
        <w:gridCol w:w="1772"/>
        <w:gridCol w:w="3218"/>
        <w:gridCol w:w="2858"/>
        <w:gridCol w:w="1634"/>
      </w:tblGrid>
      <w:tr w:rsidR="006E2A39" w:rsidRPr="001A5C05" w14:paraId="0A4CE0DF" w14:textId="77777777" w:rsidTr="00367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3D05759A" w14:textId="77777777" w:rsidR="006E2A39" w:rsidRPr="001A5C05" w:rsidRDefault="006E2A39" w:rsidP="006C5421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sz w:val="20"/>
              </w:rPr>
            </w:pPr>
            <w:r w:rsidRPr="001A5C05">
              <w:rPr>
                <w:rFonts w:ascii="Times New Roman" w:eastAsia="Times New Roman" w:hAnsi="Times New Roman" w:cs="Times New Roman"/>
                <w:b w:val="0"/>
              </w:rPr>
              <w:lastRenderedPageBreak/>
              <w:t xml:space="preserve">Table </w:t>
            </w:r>
            <w:r>
              <w:rPr>
                <w:rFonts w:ascii="Times New Roman" w:eastAsia="Times New Roman" w:hAnsi="Times New Roman" w:cs="Times New Roman"/>
                <w:b w:val="0"/>
              </w:rPr>
              <w:t>7</w:t>
            </w:r>
          </w:p>
          <w:p w14:paraId="157D7635" w14:textId="77777777" w:rsidR="006E2A39" w:rsidRPr="001A5C05" w:rsidRDefault="006E2A39" w:rsidP="006C5421">
            <w:pPr>
              <w:spacing w:line="480" w:lineRule="auto"/>
              <w:rPr>
                <w:rFonts w:ascii="Times New Roman" w:hAnsi="Times New Roman" w:cs="Times New Roman"/>
                <w:b w:val="0"/>
                <w:i/>
              </w:rPr>
            </w:pPr>
            <w:r w:rsidRPr="001A5C05">
              <w:rPr>
                <w:rFonts w:ascii="Times New Roman" w:hAnsi="Times New Roman" w:cs="Times New Roman"/>
                <w:b w:val="0"/>
                <w:i/>
              </w:rPr>
              <w:t>Follow-up Between-Group t-tests for Self and Other conditions of the EEfRT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C79E4" w14:textId="77777777" w:rsidR="006E2A39" w:rsidRPr="001A5C05" w:rsidRDefault="006E2A39" w:rsidP="006C54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E2A39" w:rsidRPr="001A5C05" w14:paraId="6EFA2A47" w14:textId="77777777" w:rsidTr="006C5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5B719A" w14:textId="77777777" w:rsidR="006E2A39" w:rsidRPr="001A5C05" w:rsidRDefault="006E2A39" w:rsidP="006C542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1A5C05">
              <w:rPr>
                <w:rFonts w:ascii="Times New Roman" w:hAnsi="Times New Roman" w:cs="Times New Roman"/>
              </w:rPr>
              <w:t>Self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1E953" w14:textId="77777777" w:rsidR="006E2A39" w:rsidRPr="001A5C05" w:rsidRDefault="006E2A39" w:rsidP="006C5421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Change in </w:t>
            </w:r>
            <w:r w:rsidRPr="001A5C05">
              <w:rPr>
                <w:rFonts w:ascii="Times New Roman" w:hAnsi="Times New Roman" w:cs="Times New Roman"/>
                <w:b/>
              </w:rPr>
              <w:t>Magnitude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100D3" w14:textId="77777777" w:rsidR="006E2A39" w:rsidRPr="001A5C05" w:rsidRDefault="006E2A39" w:rsidP="006C5421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A5C05">
              <w:rPr>
                <w:rFonts w:ascii="Times New Roman" w:hAnsi="Times New Roman" w:cs="Times New Roman"/>
                <w:b/>
              </w:rPr>
              <w:t>ASD-TDC</w:t>
            </w:r>
            <w:r w:rsidRPr="001A5C05">
              <w:rPr>
                <w:rFonts w:ascii="Times New Roman" w:hAnsi="Times New Roman" w:cs="Times New Roman"/>
                <w:b/>
                <w:i/>
              </w:rPr>
              <w:t xml:space="preserve"> t</w:t>
            </w:r>
            <w:r w:rsidRPr="001A5C05">
              <w:rPr>
                <w:rFonts w:ascii="Times New Roman" w:hAnsi="Times New Roman" w:cs="Times New Roman"/>
                <w:b/>
              </w:rPr>
              <w:t>(</w:t>
            </w:r>
            <w:r w:rsidRPr="001A5C05">
              <w:rPr>
                <w:rFonts w:ascii="Times New Roman" w:hAnsi="Times New Roman" w:cs="Times New Roman"/>
                <w:b/>
                <w:i/>
              </w:rPr>
              <w:t>p</w:t>
            </w:r>
            <w:r w:rsidRPr="001A5C0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9792B" w14:textId="77777777" w:rsidR="006E2A39" w:rsidRPr="001A5C05" w:rsidRDefault="006E2A39" w:rsidP="006C5421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453AA6">
              <w:rPr>
                <w:rFonts w:ascii="Times New Roman" w:hAnsi="Times New Roman" w:cs="Times New Roman"/>
                <w:b/>
              </w:rPr>
              <w:t xml:space="preserve">Cohen’s </w:t>
            </w:r>
            <w:r w:rsidRPr="001A5C05">
              <w:rPr>
                <w:rFonts w:ascii="Times New Roman" w:hAnsi="Times New Roman" w:cs="Times New Roman"/>
                <w:b/>
                <w:i/>
              </w:rPr>
              <w:t>d</w:t>
            </w:r>
          </w:p>
        </w:tc>
      </w:tr>
      <w:tr w:rsidR="006E2A39" w:rsidRPr="001A5C05" w14:paraId="6A276C64" w14:textId="77777777" w:rsidTr="006C542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  <w:tcBorders>
              <w:top w:val="single" w:sz="4" w:space="0" w:color="auto"/>
              <w:bottom w:val="nil"/>
              <w:right w:val="nil"/>
            </w:tcBorders>
          </w:tcPr>
          <w:p w14:paraId="0E34E6D3" w14:textId="77777777" w:rsidR="006E2A39" w:rsidRPr="001A5C05" w:rsidRDefault="006E2A39" w:rsidP="006C5421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7EEF7" w14:textId="77777777" w:rsidR="006E2A39" w:rsidRPr="003B05CB" w:rsidRDefault="006E2A39" w:rsidP="006C5421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5CB">
              <w:rPr>
                <w:rFonts w:ascii="Times New Roman" w:hAnsi="Times New Roman" w:cs="Times New Roman"/>
                <w:szCs w:val="20"/>
              </w:rPr>
              <w:t>Large-Small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74A0D" w14:textId="77777777" w:rsidR="006E2A39" w:rsidRPr="001A5C05" w:rsidRDefault="006E2A39" w:rsidP="006C5421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-0.35 (.73)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0CA23" w14:textId="77777777" w:rsidR="006E2A39" w:rsidRPr="001A5C05" w:rsidRDefault="006E2A39" w:rsidP="006C5421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</w:tr>
      <w:tr w:rsidR="006E2A39" w:rsidRPr="001A5C05" w14:paraId="08ED4D4D" w14:textId="77777777" w:rsidTr="006C5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  <w:tcBorders>
              <w:top w:val="nil"/>
              <w:bottom w:val="nil"/>
              <w:right w:val="nil"/>
            </w:tcBorders>
          </w:tcPr>
          <w:p w14:paraId="057623B4" w14:textId="77777777" w:rsidR="006E2A39" w:rsidRPr="001A5C05" w:rsidRDefault="006E2A39" w:rsidP="006C5421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14:paraId="20446F08" w14:textId="77777777" w:rsidR="006E2A39" w:rsidRPr="003B05CB" w:rsidRDefault="006E2A39" w:rsidP="006C5421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5CB">
              <w:rPr>
                <w:rFonts w:ascii="Times New Roman" w:hAnsi="Times New Roman" w:cs="Times New Roman"/>
                <w:szCs w:val="20"/>
              </w:rPr>
              <w:t>Large-Medium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14:paraId="7C645A0C" w14:textId="77777777" w:rsidR="006E2A39" w:rsidRPr="001A5C05" w:rsidRDefault="006E2A39" w:rsidP="006C5421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1.44(.15)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30DF7DE3" w14:textId="77777777" w:rsidR="006E2A39" w:rsidRPr="001A5C05" w:rsidRDefault="006E2A39" w:rsidP="006C5421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</w:t>
            </w:r>
          </w:p>
        </w:tc>
      </w:tr>
      <w:tr w:rsidR="006E2A39" w:rsidRPr="001A5C05" w14:paraId="465D28BB" w14:textId="77777777" w:rsidTr="006C542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  <w:tcBorders>
              <w:top w:val="nil"/>
              <w:bottom w:val="nil"/>
              <w:right w:val="nil"/>
            </w:tcBorders>
          </w:tcPr>
          <w:p w14:paraId="12BB42AA" w14:textId="77777777" w:rsidR="006E2A39" w:rsidRPr="001A5C05" w:rsidRDefault="006E2A39" w:rsidP="006C5421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9365F" w14:textId="77777777" w:rsidR="006E2A39" w:rsidRPr="003B05CB" w:rsidRDefault="006E2A39" w:rsidP="006C5421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5CB">
              <w:rPr>
                <w:rFonts w:ascii="Times New Roman" w:hAnsi="Times New Roman" w:cs="Times New Roman"/>
                <w:szCs w:val="20"/>
              </w:rPr>
              <w:t>Medium-Small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7A058" w14:textId="77777777" w:rsidR="006E2A39" w:rsidRPr="001A5C05" w:rsidRDefault="006E2A39" w:rsidP="006C5421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-1.47(.15)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F34E5" w14:textId="77777777" w:rsidR="006E2A39" w:rsidRPr="001A5C05" w:rsidRDefault="006E2A39" w:rsidP="006C5421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0.33</w:t>
            </w:r>
          </w:p>
        </w:tc>
      </w:tr>
      <w:tr w:rsidR="006E2A39" w:rsidRPr="001A5C05" w14:paraId="19006453" w14:textId="77777777" w:rsidTr="006C5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  <w:tcBorders>
              <w:top w:val="nil"/>
              <w:bottom w:val="nil"/>
              <w:right w:val="nil"/>
            </w:tcBorders>
          </w:tcPr>
          <w:p w14:paraId="7EF06B37" w14:textId="77777777" w:rsidR="006E2A39" w:rsidRPr="001A5C05" w:rsidRDefault="006E2A39" w:rsidP="006C5421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E22A7" w14:textId="77777777" w:rsidR="006E2A39" w:rsidRPr="001A5C05" w:rsidRDefault="006E2A39" w:rsidP="006C5421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Change in </w:t>
            </w:r>
            <w:r w:rsidRPr="001A5C05">
              <w:rPr>
                <w:rFonts w:ascii="Times New Roman" w:hAnsi="Times New Roman" w:cs="Times New Roman"/>
                <w:b/>
              </w:rPr>
              <w:t>Probability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43C4F" w14:textId="77777777" w:rsidR="006E2A39" w:rsidRPr="001A5C05" w:rsidRDefault="006E2A39" w:rsidP="006C5421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A5BCC" w14:textId="77777777" w:rsidR="006E2A39" w:rsidRPr="001A5C05" w:rsidRDefault="006E2A39" w:rsidP="006C5421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E2A39" w:rsidRPr="001A5C05" w14:paraId="389F4E3A" w14:textId="77777777" w:rsidTr="006C542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  <w:tcBorders>
              <w:top w:val="nil"/>
              <w:bottom w:val="nil"/>
              <w:right w:val="nil"/>
            </w:tcBorders>
          </w:tcPr>
          <w:p w14:paraId="3F157502" w14:textId="77777777" w:rsidR="006E2A39" w:rsidRPr="001A5C05" w:rsidRDefault="006E2A39" w:rsidP="006C5421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691B0" w14:textId="77777777" w:rsidR="006E2A39" w:rsidRPr="003B05CB" w:rsidRDefault="006E2A39" w:rsidP="006C5421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5CB">
              <w:rPr>
                <w:rFonts w:ascii="Times New Roman" w:hAnsi="Times New Roman" w:cs="Times New Roman"/>
                <w:szCs w:val="20"/>
              </w:rPr>
              <w:t>High-Low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FDD1D" w14:textId="77777777" w:rsidR="006E2A39" w:rsidRPr="001A5C05" w:rsidRDefault="006E2A39" w:rsidP="006C5421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-1.07(.29)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262A7" w14:textId="77777777" w:rsidR="006E2A39" w:rsidRPr="001A5C05" w:rsidRDefault="006E2A39" w:rsidP="006C5421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</w:tr>
      <w:tr w:rsidR="006E2A39" w:rsidRPr="001A5C05" w14:paraId="093F61A7" w14:textId="77777777" w:rsidTr="006C5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  <w:tcBorders>
              <w:top w:val="nil"/>
              <w:bottom w:val="nil"/>
              <w:right w:val="nil"/>
            </w:tcBorders>
          </w:tcPr>
          <w:p w14:paraId="5288CB54" w14:textId="77777777" w:rsidR="006E2A39" w:rsidRPr="001A5C05" w:rsidRDefault="006E2A39" w:rsidP="006C5421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14:paraId="64ED418F" w14:textId="77777777" w:rsidR="006E2A39" w:rsidRPr="003B05CB" w:rsidRDefault="006E2A39" w:rsidP="006C5421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5CB">
              <w:rPr>
                <w:rFonts w:ascii="Times New Roman" w:hAnsi="Times New Roman" w:cs="Times New Roman"/>
                <w:szCs w:val="20"/>
              </w:rPr>
              <w:t>High-Medium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14:paraId="7CF9084D" w14:textId="77777777" w:rsidR="006E2A39" w:rsidRPr="001A5C05" w:rsidRDefault="006E2A39" w:rsidP="006C5421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-1.20(.23)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78C06DC0" w14:textId="77777777" w:rsidR="006E2A39" w:rsidRPr="001A5C05" w:rsidRDefault="006E2A39" w:rsidP="006C5421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</w:t>
            </w:r>
          </w:p>
        </w:tc>
      </w:tr>
      <w:tr w:rsidR="006E2A39" w:rsidRPr="001A5C05" w14:paraId="299F2CC5" w14:textId="77777777" w:rsidTr="006C542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  <w:tcBorders>
              <w:top w:val="nil"/>
              <w:bottom w:val="single" w:sz="4" w:space="0" w:color="auto"/>
              <w:right w:val="nil"/>
            </w:tcBorders>
          </w:tcPr>
          <w:p w14:paraId="5F9203BB" w14:textId="77777777" w:rsidR="006E2A39" w:rsidRPr="001A5C05" w:rsidRDefault="006E2A39" w:rsidP="006C5421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60262" w14:textId="77777777" w:rsidR="006E2A39" w:rsidRPr="003B05CB" w:rsidRDefault="006E2A39" w:rsidP="006C5421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5CB">
              <w:rPr>
                <w:rFonts w:ascii="Times New Roman" w:hAnsi="Times New Roman" w:cs="Times New Roman"/>
                <w:szCs w:val="20"/>
              </w:rPr>
              <w:t>Medium-Low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6678F" w14:textId="77777777" w:rsidR="006E2A39" w:rsidRPr="001A5C05" w:rsidRDefault="006E2A39" w:rsidP="006C5421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-0.27(.79)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F9976" w14:textId="77777777" w:rsidR="006E2A39" w:rsidRPr="001A5C05" w:rsidRDefault="006E2A39" w:rsidP="006C5421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</w:tr>
      <w:tr w:rsidR="006E2A39" w:rsidRPr="001A5C05" w14:paraId="3DCBE9C4" w14:textId="77777777" w:rsidTr="006C5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85406E" w14:textId="77777777" w:rsidR="006E2A39" w:rsidRPr="001A5C05" w:rsidRDefault="006E2A39" w:rsidP="006C542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1A5C05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05A503" w14:textId="77777777" w:rsidR="006E2A39" w:rsidRPr="001A5C05" w:rsidRDefault="006E2A39" w:rsidP="006C5421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Change in </w:t>
            </w:r>
            <w:r w:rsidRPr="001A5C05">
              <w:rPr>
                <w:rFonts w:ascii="Times New Roman" w:hAnsi="Times New Roman" w:cs="Times New Roman"/>
                <w:b/>
              </w:rPr>
              <w:t>Magnitude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830E5" w14:textId="77777777" w:rsidR="006E2A39" w:rsidRPr="001A5C05" w:rsidRDefault="006E2A39" w:rsidP="006C5421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A5C05">
              <w:rPr>
                <w:rFonts w:ascii="Times New Roman" w:hAnsi="Times New Roman" w:cs="Times New Roman"/>
                <w:b/>
              </w:rPr>
              <w:t>ASD-TDC</w:t>
            </w:r>
            <w:r w:rsidRPr="001A5C05">
              <w:rPr>
                <w:rFonts w:ascii="Times New Roman" w:hAnsi="Times New Roman" w:cs="Times New Roman"/>
                <w:b/>
                <w:i/>
              </w:rPr>
              <w:t xml:space="preserve"> t</w:t>
            </w:r>
            <w:r w:rsidRPr="001A5C05">
              <w:rPr>
                <w:rFonts w:ascii="Times New Roman" w:hAnsi="Times New Roman" w:cs="Times New Roman"/>
                <w:b/>
              </w:rPr>
              <w:t>(</w:t>
            </w:r>
            <w:r w:rsidRPr="001A5C05">
              <w:rPr>
                <w:rFonts w:ascii="Times New Roman" w:hAnsi="Times New Roman" w:cs="Times New Roman"/>
                <w:b/>
                <w:i/>
              </w:rPr>
              <w:t>p</w:t>
            </w:r>
            <w:r w:rsidRPr="001A5C0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87BA2" w14:textId="77777777" w:rsidR="006E2A39" w:rsidRPr="001A5C05" w:rsidRDefault="006E2A39" w:rsidP="006C5421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53AA6">
              <w:rPr>
                <w:rFonts w:ascii="Times New Roman" w:hAnsi="Times New Roman" w:cs="Times New Roman"/>
                <w:b/>
              </w:rPr>
              <w:t xml:space="preserve">Cohen’s </w:t>
            </w:r>
            <w:r w:rsidRPr="001A5C05">
              <w:rPr>
                <w:rFonts w:ascii="Times New Roman" w:hAnsi="Times New Roman" w:cs="Times New Roman"/>
                <w:b/>
                <w:i/>
              </w:rPr>
              <w:t>d</w:t>
            </w:r>
          </w:p>
        </w:tc>
      </w:tr>
      <w:tr w:rsidR="006E2A39" w:rsidRPr="001A5C05" w14:paraId="45E22B4F" w14:textId="77777777" w:rsidTr="006C542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  <w:tcBorders>
              <w:top w:val="single" w:sz="4" w:space="0" w:color="auto"/>
              <w:bottom w:val="nil"/>
              <w:right w:val="nil"/>
            </w:tcBorders>
          </w:tcPr>
          <w:p w14:paraId="52D3DDF7" w14:textId="77777777" w:rsidR="006E2A39" w:rsidRPr="001A5C05" w:rsidRDefault="006E2A39" w:rsidP="006C5421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73DCD" w14:textId="77777777" w:rsidR="006E2A39" w:rsidRPr="001A5C05" w:rsidRDefault="006E2A39" w:rsidP="006C5421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5CB">
              <w:rPr>
                <w:rFonts w:ascii="Times New Roman" w:hAnsi="Times New Roman" w:cs="Times New Roman"/>
                <w:szCs w:val="20"/>
              </w:rPr>
              <w:t>Large-Small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A989F" w14:textId="77777777" w:rsidR="006E2A39" w:rsidRPr="001A5C05" w:rsidRDefault="006E2A39" w:rsidP="006C5421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*-2.21(.03)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8DD99C" w14:textId="77777777" w:rsidR="006E2A39" w:rsidRPr="001A5C05" w:rsidRDefault="006E2A39" w:rsidP="006C5421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</w:t>
            </w:r>
          </w:p>
        </w:tc>
      </w:tr>
      <w:tr w:rsidR="006E2A39" w:rsidRPr="001A5C05" w14:paraId="5A872A4F" w14:textId="77777777" w:rsidTr="006C5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  <w:tcBorders>
              <w:top w:val="nil"/>
              <w:bottom w:val="nil"/>
              <w:right w:val="nil"/>
            </w:tcBorders>
          </w:tcPr>
          <w:p w14:paraId="10A4566F" w14:textId="77777777" w:rsidR="006E2A39" w:rsidRPr="001A5C05" w:rsidRDefault="006E2A39" w:rsidP="006C5421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14:paraId="0B94A6E9" w14:textId="77777777" w:rsidR="006E2A39" w:rsidRPr="001A5C05" w:rsidRDefault="006E2A39" w:rsidP="006C5421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5CB">
              <w:rPr>
                <w:rFonts w:ascii="Times New Roman" w:hAnsi="Times New Roman" w:cs="Times New Roman"/>
                <w:szCs w:val="20"/>
              </w:rPr>
              <w:t>Large-Medium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14:paraId="60D3F02A" w14:textId="77777777" w:rsidR="006E2A39" w:rsidRPr="001A5C05" w:rsidRDefault="006E2A39" w:rsidP="006C5421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**-2.69(.009)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3DB16BF3" w14:textId="77777777" w:rsidR="006E2A39" w:rsidRPr="001A5C05" w:rsidRDefault="006E2A39" w:rsidP="006C5421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</w:t>
            </w:r>
          </w:p>
        </w:tc>
      </w:tr>
      <w:tr w:rsidR="006E2A39" w:rsidRPr="001A5C05" w14:paraId="0CFE96CD" w14:textId="77777777" w:rsidTr="006C542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  <w:tcBorders>
              <w:top w:val="nil"/>
              <w:bottom w:val="nil"/>
              <w:right w:val="nil"/>
            </w:tcBorders>
          </w:tcPr>
          <w:p w14:paraId="0E6EFB29" w14:textId="77777777" w:rsidR="006E2A39" w:rsidRPr="001A5C05" w:rsidRDefault="006E2A39" w:rsidP="006C5421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5FAEE" w14:textId="77777777" w:rsidR="006E2A39" w:rsidRPr="001A5C05" w:rsidRDefault="006E2A39" w:rsidP="006C5421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5CB">
              <w:rPr>
                <w:rFonts w:ascii="Times New Roman" w:hAnsi="Times New Roman" w:cs="Times New Roman"/>
                <w:szCs w:val="20"/>
              </w:rPr>
              <w:t>Medium-Small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86EA7" w14:textId="77777777" w:rsidR="006E2A39" w:rsidRPr="001A5C05" w:rsidRDefault="006E2A39" w:rsidP="006C5421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-0.44(.66)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9CF9E" w14:textId="77777777" w:rsidR="006E2A39" w:rsidRPr="001A5C05" w:rsidRDefault="006E2A39" w:rsidP="006C5421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</w:tr>
      <w:tr w:rsidR="006E2A39" w:rsidRPr="001A5C05" w14:paraId="437A6C9A" w14:textId="77777777" w:rsidTr="006C5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  <w:tcBorders>
              <w:top w:val="nil"/>
              <w:bottom w:val="nil"/>
              <w:right w:val="nil"/>
            </w:tcBorders>
          </w:tcPr>
          <w:p w14:paraId="1DEBE501" w14:textId="77777777" w:rsidR="006E2A39" w:rsidRPr="001A5C05" w:rsidRDefault="006E2A39" w:rsidP="006C5421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D297B" w14:textId="77777777" w:rsidR="006E2A39" w:rsidRPr="001A5C05" w:rsidRDefault="006E2A39" w:rsidP="006C5421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Change in </w:t>
            </w:r>
            <w:r w:rsidRPr="001A5C05">
              <w:rPr>
                <w:rFonts w:ascii="Times New Roman" w:hAnsi="Times New Roman" w:cs="Times New Roman"/>
                <w:b/>
              </w:rPr>
              <w:t>Probability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D56E2" w14:textId="77777777" w:rsidR="006E2A39" w:rsidRPr="001A5C05" w:rsidRDefault="006E2A39" w:rsidP="006C5421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AF80B" w14:textId="77777777" w:rsidR="006E2A39" w:rsidRPr="001A5C05" w:rsidRDefault="006E2A39" w:rsidP="006C5421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E2A39" w:rsidRPr="001A5C05" w14:paraId="3852E11B" w14:textId="77777777" w:rsidTr="006C542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  <w:tcBorders>
              <w:top w:val="nil"/>
              <w:bottom w:val="nil"/>
              <w:right w:val="nil"/>
            </w:tcBorders>
          </w:tcPr>
          <w:p w14:paraId="4AA52909" w14:textId="77777777" w:rsidR="006E2A39" w:rsidRPr="001A5C05" w:rsidRDefault="006E2A39" w:rsidP="006C5421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416FC" w14:textId="77777777" w:rsidR="006E2A39" w:rsidRPr="001A5C05" w:rsidRDefault="006E2A39" w:rsidP="006C5421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5CB">
              <w:rPr>
                <w:rFonts w:ascii="Times New Roman" w:hAnsi="Times New Roman" w:cs="Times New Roman"/>
                <w:szCs w:val="20"/>
              </w:rPr>
              <w:t>High-Low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929DC9" w14:textId="77777777" w:rsidR="006E2A39" w:rsidRPr="001A5C05" w:rsidRDefault="006E2A39" w:rsidP="006C5421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-1.63(.11)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BF280" w14:textId="77777777" w:rsidR="006E2A39" w:rsidRPr="001A5C05" w:rsidRDefault="006E2A39" w:rsidP="006C5421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</w:t>
            </w:r>
          </w:p>
        </w:tc>
      </w:tr>
      <w:tr w:rsidR="006E2A39" w:rsidRPr="001A5C05" w14:paraId="2E601711" w14:textId="77777777" w:rsidTr="006C5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  <w:tcBorders>
              <w:top w:val="nil"/>
              <w:bottom w:val="nil"/>
              <w:right w:val="nil"/>
            </w:tcBorders>
          </w:tcPr>
          <w:p w14:paraId="5E92A305" w14:textId="77777777" w:rsidR="006E2A39" w:rsidRPr="001A5C05" w:rsidRDefault="006E2A39" w:rsidP="006C5421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14:paraId="3A84EB55" w14:textId="77777777" w:rsidR="006E2A39" w:rsidRPr="001A5C05" w:rsidRDefault="006E2A39" w:rsidP="006C5421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5CB">
              <w:rPr>
                <w:rFonts w:ascii="Times New Roman" w:hAnsi="Times New Roman" w:cs="Times New Roman"/>
                <w:szCs w:val="20"/>
              </w:rPr>
              <w:t>High-Medium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14:paraId="1844E0AA" w14:textId="77777777" w:rsidR="006E2A39" w:rsidRPr="001A5C05" w:rsidRDefault="006E2A39" w:rsidP="006C5421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-1.46(.15)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256BA9DC" w14:textId="77777777" w:rsidR="006E2A39" w:rsidRPr="001A5C05" w:rsidRDefault="006E2A39" w:rsidP="006C5421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</w:t>
            </w:r>
          </w:p>
        </w:tc>
      </w:tr>
      <w:tr w:rsidR="006E2A39" w:rsidRPr="001A5C05" w14:paraId="0F374E1C" w14:textId="77777777" w:rsidTr="006C542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  <w:tcBorders>
              <w:top w:val="nil"/>
              <w:bottom w:val="single" w:sz="4" w:space="0" w:color="auto"/>
              <w:right w:val="nil"/>
            </w:tcBorders>
          </w:tcPr>
          <w:p w14:paraId="3761BF38" w14:textId="77777777" w:rsidR="006E2A39" w:rsidRPr="001A5C05" w:rsidRDefault="006E2A39" w:rsidP="006C5421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18B3B" w14:textId="77777777" w:rsidR="006E2A39" w:rsidRPr="001A5C05" w:rsidRDefault="006E2A39" w:rsidP="006C5421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5CB">
              <w:rPr>
                <w:rFonts w:ascii="Times New Roman" w:hAnsi="Times New Roman" w:cs="Times New Roman"/>
                <w:szCs w:val="20"/>
              </w:rPr>
              <w:t>Medium-Low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71FA4" w14:textId="77777777" w:rsidR="006E2A39" w:rsidRPr="001A5C05" w:rsidRDefault="006E2A39" w:rsidP="006C5421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-0.80(.42)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59BD0" w14:textId="77777777" w:rsidR="006E2A39" w:rsidRPr="001A5C05" w:rsidRDefault="006E2A39" w:rsidP="006C5421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</w:t>
            </w:r>
          </w:p>
        </w:tc>
      </w:tr>
    </w:tbl>
    <w:p w14:paraId="57BC4FF4" w14:textId="77777777" w:rsidR="006E2A39" w:rsidRDefault="006E2A39" w:rsidP="006E2A39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1A5C05">
        <w:rPr>
          <w:rFonts w:ascii="Times New Roman" w:hAnsi="Times New Roman" w:cs="Times New Roman"/>
          <w:sz w:val="20"/>
          <w:szCs w:val="20"/>
        </w:rPr>
        <w:t>*</w:t>
      </w:r>
      <w:r w:rsidRPr="001A5C05">
        <w:rPr>
          <w:rFonts w:ascii="Times New Roman" w:hAnsi="Times New Roman" w:cs="Times New Roman"/>
          <w:i/>
          <w:sz w:val="20"/>
          <w:szCs w:val="20"/>
        </w:rPr>
        <w:t>p</w:t>
      </w:r>
      <w:r w:rsidRPr="001A5C05">
        <w:rPr>
          <w:rFonts w:ascii="Times New Roman" w:hAnsi="Times New Roman" w:cs="Times New Roman"/>
          <w:sz w:val="20"/>
          <w:szCs w:val="20"/>
        </w:rPr>
        <w:t>&lt;.0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1A5C05">
        <w:rPr>
          <w:rFonts w:ascii="Times New Roman" w:hAnsi="Times New Roman" w:cs="Times New Roman"/>
          <w:sz w:val="20"/>
          <w:szCs w:val="20"/>
        </w:rPr>
        <w:t>, **</w:t>
      </w:r>
      <w:r w:rsidRPr="001A5C05">
        <w:rPr>
          <w:rFonts w:ascii="Times New Roman" w:hAnsi="Times New Roman" w:cs="Times New Roman"/>
          <w:i/>
          <w:sz w:val="20"/>
          <w:szCs w:val="20"/>
        </w:rPr>
        <w:t>p</w:t>
      </w:r>
      <w:r w:rsidRPr="001A5C05">
        <w:rPr>
          <w:rFonts w:ascii="Times New Roman" w:hAnsi="Times New Roman" w:cs="Times New Roman"/>
          <w:sz w:val="20"/>
          <w:szCs w:val="20"/>
        </w:rPr>
        <w:t>&lt;.0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2AA7A33F" w14:textId="77777777" w:rsidR="0078348B" w:rsidRDefault="0078348B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C0D0895" w14:textId="7F7AF220" w:rsidR="006E2A39" w:rsidRPr="0078348B" w:rsidRDefault="006E2A39" w:rsidP="00453AA6">
      <w:pPr>
        <w:spacing w:line="48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1A5C05">
        <w:rPr>
          <w:rFonts w:ascii="Times New Roman" w:eastAsia="Times New Roman" w:hAnsi="Times New Roman" w:cs="Times New Roman"/>
        </w:rPr>
        <w:lastRenderedPageBreak/>
        <w:t xml:space="preserve">Table </w:t>
      </w:r>
      <w:r>
        <w:rPr>
          <w:rFonts w:ascii="Times New Roman" w:eastAsia="Times New Roman" w:hAnsi="Times New Roman" w:cs="Times New Roman"/>
        </w:rPr>
        <w:t>8</w:t>
      </w:r>
    </w:p>
    <w:p w14:paraId="0B0EFCCC" w14:textId="77777777" w:rsidR="006E2A39" w:rsidRPr="001A5C05" w:rsidRDefault="006E2A39" w:rsidP="0078348B">
      <w:pPr>
        <w:spacing w:line="480" w:lineRule="auto"/>
        <w:rPr>
          <w:rFonts w:ascii="Times New Roman" w:eastAsia="Times New Roman" w:hAnsi="Times New Roman" w:cs="Times New Roman"/>
          <w:bCs/>
        </w:rPr>
      </w:pPr>
      <w:r w:rsidRPr="001A5C05">
        <w:rPr>
          <w:rFonts w:ascii="Times New Roman" w:hAnsi="Times New Roman" w:cs="Times New Roman"/>
          <w:i/>
        </w:rPr>
        <w:t>Follow-up Within-Group t-tests in the ASD and TDC Groups</w:t>
      </w:r>
      <w:r w:rsidRPr="001A5C05">
        <w:rPr>
          <w:rFonts w:ascii="Times New Roman" w:eastAsia="Times New Roman" w:hAnsi="Times New Roman" w:cs="Times New Roman"/>
          <w:bCs/>
        </w:rPr>
        <w:t xml:space="preserve"> </w:t>
      </w:r>
      <w:r w:rsidRPr="001A5C05">
        <w:rPr>
          <w:rFonts w:ascii="Times New Roman" w:eastAsia="Times New Roman" w:hAnsi="Times New Roman" w:cs="Times New Roman"/>
          <w:bCs/>
          <w:i/>
        </w:rPr>
        <w:t>for the EEfRT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3196"/>
        <w:gridCol w:w="2759"/>
        <w:gridCol w:w="1685"/>
      </w:tblGrid>
      <w:tr w:rsidR="006E2A39" w:rsidRPr="001A5C05" w14:paraId="0ECD9B0A" w14:textId="77777777" w:rsidTr="006C5421">
        <w:trPr>
          <w:trHeight w:val="260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4C838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C05">
              <w:rPr>
                <w:rFonts w:ascii="Times New Roman" w:hAnsi="Times New Roman" w:cs="Times New Roman"/>
                <w:b/>
                <w:sz w:val="20"/>
                <w:szCs w:val="20"/>
              </w:rPr>
              <w:t>Self-Other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1E955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Change in </w:t>
            </w:r>
            <w:r w:rsidRPr="001A5C05">
              <w:rPr>
                <w:rFonts w:ascii="Times New Roman" w:hAnsi="Times New Roman" w:cs="Times New Roman"/>
                <w:b/>
                <w:sz w:val="20"/>
                <w:szCs w:val="20"/>
              </w:rPr>
              <w:t>Magnitude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E12551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C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ASD </w:t>
            </w:r>
            <w:r w:rsidRPr="001A5C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</w:t>
            </w:r>
            <w:r w:rsidRPr="001A5C0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A5C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1A5C0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15A30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562">
              <w:rPr>
                <w:rFonts w:ascii="Times New Roman" w:hAnsi="Times New Roman" w:cs="Times New Roman"/>
                <w:b/>
                <w:sz w:val="20"/>
                <w:szCs w:val="20"/>
              </w:rPr>
              <w:t>Cohen’s</w:t>
            </w:r>
            <w:r w:rsidRPr="001A5C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</w:t>
            </w:r>
          </w:p>
        </w:tc>
      </w:tr>
      <w:tr w:rsidR="006E2A39" w:rsidRPr="001A5C05" w14:paraId="538436C4" w14:textId="77777777" w:rsidTr="006C5421">
        <w:trPr>
          <w:trHeight w:val="277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17992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19817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Large-</w:t>
            </w:r>
            <w:r w:rsidRPr="001A5C05">
              <w:rPr>
                <w:rFonts w:ascii="Times New Roman" w:hAnsi="Times New Roman" w:cs="Times New Roman"/>
                <w:sz w:val="20"/>
                <w:szCs w:val="20"/>
              </w:rPr>
              <w:t>Small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47579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1.65(.11)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B78C0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6E2A39" w:rsidRPr="001A5C05" w14:paraId="4AD36FD4" w14:textId="77777777" w:rsidTr="006C5421">
        <w:trPr>
          <w:trHeight w:val="277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1235CEF4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14:paraId="355120A3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Large-</w:t>
            </w:r>
            <w:r w:rsidRPr="001A5C05">
              <w:rPr>
                <w:rFonts w:ascii="Times New Roman" w:hAnsi="Times New Roman" w:cs="Times New Roman"/>
                <w:sz w:val="20"/>
                <w:szCs w:val="20"/>
              </w:rPr>
              <w:t>Medium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045DD753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*2.05(.05)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1F1A30EB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</w:tr>
      <w:tr w:rsidR="006E2A39" w:rsidRPr="001A5C05" w14:paraId="621599B3" w14:textId="77777777" w:rsidTr="006C5421">
        <w:trPr>
          <w:trHeight w:val="277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2C75E44B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3E7A3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Medium-Small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A429E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-0.53(60)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A582E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6E2A39" w:rsidRPr="001A5C05" w14:paraId="1C93C26F" w14:textId="77777777" w:rsidTr="006C5421">
        <w:trPr>
          <w:trHeight w:val="277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71B662AF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4BAAC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Change in </w:t>
            </w:r>
            <w:r w:rsidRPr="001A5C05">
              <w:rPr>
                <w:rFonts w:ascii="Times New Roman" w:hAnsi="Times New Roman" w:cs="Times New Roman"/>
                <w:b/>
                <w:sz w:val="20"/>
                <w:szCs w:val="20"/>
              </w:rPr>
              <w:t>Probability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AA564A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D2DD3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A39" w:rsidRPr="001A5C05" w14:paraId="6966E675" w14:textId="77777777" w:rsidTr="006C5421">
        <w:trPr>
          <w:trHeight w:val="257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6B96DA70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6EAC8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High-</w:t>
            </w:r>
            <w:r w:rsidRPr="001A5C0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9CA4E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0.10(.92)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C2EF65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6E2A39" w:rsidRPr="001A5C05" w14:paraId="193EC6A7" w14:textId="77777777" w:rsidTr="006C5421">
        <w:trPr>
          <w:trHeight w:val="277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2BA3FE95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14:paraId="4D6A5911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High-</w:t>
            </w:r>
            <w:r w:rsidRPr="001A5C05">
              <w:rPr>
                <w:rFonts w:ascii="Times New Roman" w:hAnsi="Times New Roman" w:cs="Times New Roman"/>
                <w:sz w:val="20"/>
                <w:szCs w:val="20"/>
              </w:rPr>
              <w:t>Medium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03E7D133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-0.05(.96)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6F5133D8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6E2A39" w:rsidRPr="001A5C05" w14:paraId="256C694A" w14:textId="77777777" w:rsidTr="006C5421">
        <w:trPr>
          <w:trHeight w:val="277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7BEC6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E7E0E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Medium-Low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6CDE7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0.13(.90)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609A3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6.02</w:t>
            </w:r>
          </w:p>
        </w:tc>
      </w:tr>
      <w:tr w:rsidR="006E2A39" w:rsidRPr="001A5C05" w14:paraId="3462CFC7" w14:textId="77777777" w:rsidTr="006C5421">
        <w:trPr>
          <w:trHeight w:val="278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002C4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C05">
              <w:rPr>
                <w:rFonts w:ascii="Times New Roman" w:hAnsi="Times New Roman" w:cs="Times New Roman"/>
                <w:b/>
                <w:sz w:val="20"/>
                <w:szCs w:val="20"/>
              </w:rPr>
              <w:t>Self-Other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47039A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Change in </w:t>
            </w:r>
            <w:r w:rsidRPr="001A5C05">
              <w:rPr>
                <w:rFonts w:ascii="Times New Roman" w:hAnsi="Times New Roman" w:cs="Times New Roman"/>
                <w:b/>
                <w:sz w:val="20"/>
                <w:szCs w:val="20"/>
              </w:rPr>
              <w:t>Magnitude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20215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C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TDC </w:t>
            </w:r>
            <w:r w:rsidRPr="001A5C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</w:t>
            </w:r>
            <w:r w:rsidRPr="001A5C0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A5C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1A5C0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6E958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2235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Cohen’s </w:t>
            </w:r>
            <w:bookmarkEnd w:id="0"/>
            <w:r w:rsidRPr="001A5C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</w:t>
            </w:r>
          </w:p>
        </w:tc>
      </w:tr>
      <w:tr w:rsidR="006E2A39" w:rsidRPr="001A5C05" w14:paraId="2B2DA4D9" w14:textId="77777777" w:rsidTr="006C5421">
        <w:trPr>
          <w:trHeight w:val="257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9D40B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8802A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Large-</w:t>
            </w:r>
            <w:r w:rsidRPr="001A5C05">
              <w:rPr>
                <w:rFonts w:ascii="Times New Roman" w:hAnsi="Times New Roman" w:cs="Times New Roman"/>
                <w:sz w:val="20"/>
                <w:szCs w:val="20"/>
              </w:rPr>
              <w:t>Small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9A0C0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-0.75(.46)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8C942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6E2A39" w:rsidRPr="001A5C05" w14:paraId="4D1041EB" w14:textId="77777777" w:rsidTr="006C5421">
        <w:trPr>
          <w:trHeight w:val="277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1119D155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14:paraId="26805BB5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Large-</w:t>
            </w:r>
            <w:r w:rsidRPr="001A5C05">
              <w:rPr>
                <w:rFonts w:ascii="Times New Roman" w:hAnsi="Times New Roman" w:cs="Times New Roman"/>
                <w:sz w:val="20"/>
                <w:szCs w:val="20"/>
              </w:rPr>
              <w:t>Medium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254B0094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*-2.07(.05)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4961EEBA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</w:tr>
      <w:tr w:rsidR="006E2A39" w:rsidRPr="001A5C05" w14:paraId="5531831A" w14:textId="77777777" w:rsidTr="006C5421">
        <w:trPr>
          <w:trHeight w:val="277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03BDA0E0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17650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Medium-Small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492BC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0.77(.45)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E0E8F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6E2A39" w:rsidRPr="001A5C05" w14:paraId="63CB1FC9" w14:textId="77777777" w:rsidTr="006C5421">
        <w:trPr>
          <w:trHeight w:val="277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677F5FB9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82FE6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Change in </w:t>
            </w:r>
            <w:r w:rsidRPr="001A5C05">
              <w:rPr>
                <w:rFonts w:ascii="Times New Roman" w:hAnsi="Times New Roman" w:cs="Times New Roman"/>
                <w:b/>
                <w:sz w:val="20"/>
                <w:szCs w:val="20"/>
              </w:rPr>
              <w:t>Probability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24F6A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D6C94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A39" w:rsidRPr="001A5C05" w14:paraId="21A6D99F" w14:textId="77777777" w:rsidTr="006C5421">
        <w:trPr>
          <w:trHeight w:val="287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028F60CE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1644D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High-</w:t>
            </w:r>
            <w:r w:rsidRPr="001A5C0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1B0EB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-1.25(.22)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D1B23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</w:tr>
      <w:tr w:rsidR="006E2A39" w:rsidRPr="001A5C05" w14:paraId="6D23FEF1" w14:textId="77777777" w:rsidTr="006C5421">
        <w:trPr>
          <w:trHeight w:val="277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18F75C51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14:paraId="649D41B3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High-</w:t>
            </w:r>
            <w:r w:rsidRPr="001A5C05">
              <w:rPr>
                <w:rFonts w:ascii="Times New Roman" w:hAnsi="Times New Roman" w:cs="Times New Roman"/>
                <w:sz w:val="20"/>
                <w:szCs w:val="20"/>
              </w:rPr>
              <w:t>Medium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7FEE6BA8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-0.42(.68)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78A500FE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</w:tr>
      <w:tr w:rsidR="006E2A39" w:rsidRPr="001A5C05" w14:paraId="6D38CD6A" w14:textId="77777777" w:rsidTr="006C5421">
        <w:trPr>
          <w:trHeight w:val="277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84855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BA432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Medium-Low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6D84C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-0.53(.60)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4B60C" w14:textId="77777777" w:rsidR="006E2A39" w:rsidRPr="001A5C05" w:rsidRDefault="006E2A39" w:rsidP="006C5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3.46</w:t>
            </w:r>
          </w:p>
        </w:tc>
      </w:tr>
    </w:tbl>
    <w:p w14:paraId="372D3A4B" w14:textId="77777777" w:rsidR="006E2A39" w:rsidRPr="00996792" w:rsidRDefault="006E2A39" w:rsidP="006E2A39">
      <w:pPr>
        <w:spacing w:line="480" w:lineRule="auto"/>
        <w:rPr>
          <w:rFonts w:ascii="Times New Roman" w:eastAsia="Times New Roman" w:hAnsi="Times New Roman" w:cs="Times New Roman"/>
        </w:rPr>
      </w:pPr>
      <w:r w:rsidRPr="001A5C05">
        <w:rPr>
          <w:rFonts w:ascii="Times New Roman" w:hAnsi="Times New Roman" w:cs="Times New Roman"/>
          <w:sz w:val="20"/>
          <w:szCs w:val="20"/>
        </w:rPr>
        <w:t>*</w:t>
      </w:r>
      <w:r w:rsidRPr="001A5C05">
        <w:rPr>
          <w:rFonts w:ascii="Times New Roman" w:hAnsi="Times New Roman" w:cs="Times New Roman"/>
          <w:i/>
          <w:sz w:val="20"/>
          <w:szCs w:val="20"/>
        </w:rPr>
        <w:t>p</w:t>
      </w:r>
      <w:r w:rsidRPr="003061AB">
        <w:rPr>
          <w:rFonts w:ascii="Times New Roman" w:hAnsi="Times New Roman" w:cs="Times New Roman"/>
          <w:sz w:val="20"/>
          <w:szCs w:val="20"/>
          <w:u w:val="single"/>
        </w:rPr>
        <w:t>&lt;</w:t>
      </w:r>
      <w:r>
        <w:rPr>
          <w:rFonts w:ascii="Times New Roman" w:hAnsi="Times New Roman" w:cs="Times New Roman"/>
          <w:sz w:val="20"/>
          <w:szCs w:val="20"/>
        </w:rPr>
        <w:t>.05</w:t>
      </w:r>
    </w:p>
    <w:p w14:paraId="5D22208B" w14:textId="77777777" w:rsidR="005B3E0F" w:rsidRDefault="005B3E0F"/>
    <w:sectPr w:rsidR="005B3E0F" w:rsidSect="00D509D4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77A9B" w14:textId="77777777" w:rsidR="002E4D76" w:rsidRDefault="002E4D76">
      <w:r>
        <w:separator/>
      </w:r>
    </w:p>
  </w:endnote>
  <w:endnote w:type="continuationSeparator" w:id="0">
    <w:p w14:paraId="148F778F" w14:textId="77777777" w:rsidR="002E4D76" w:rsidRDefault="002E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DB449" w14:textId="77777777" w:rsidR="002E4D76" w:rsidRDefault="002E4D76">
      <w:r>
        <w:separator/>
      </w:r>
    </w:p>
  </w:footnote>
  <w:footnote w:type="continuationSeparator" w:id="0">
    <w:p w14:paraId="43386F44" w14:textId="77777777" w:rsidR="002E4D76" w:rsidRDefault="002E4D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F687A" w14:textId="77777777" w:rsidR="00D509D4" w:rsidRDefault="004524D8" w:rsidP="001413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80FEC" w14:textId="77777777" w:rsidR="00D509D4" w:rsidRDefault="002E4D76" w:rsidP="00D509D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604D5" w14:textId="4FEA73A0" w:rsidR="00D509D4" w:rsidRPr="00D509D4" w:rsidRDefault="004524D8" w:rsidP="001413E4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D509D4">
      <w:rPr>
        <w:rStyle w:val="PageNumber"/>
        <w:rFonts w:ascii="Times New Roman" w:hAnsi="Times New Roman" w:cs="Times New Roman"/>
      </w:rPr>
      <w:fldChar w:fldCharType="begin"/>
    </w:r>
    <w:r w:rsidRPr="00D509D4">
      <w:rPr>
        <w:rStyle w:val="PageNumber"/>
        <w:rFonts w:ascii="Times New Roman" w:hAnsi="Times New Roman" w:cs="Times New Roman"/>
      </w:rPr>
      <w:instrText xml:space="preserve">PAGE  </w:instrText>
    </w:r>
    <w:r w:rsidRPr="00D509D4">
      <w:rPr>
        <w:rStyle w:val="PageNumber"/>
        <w:rFonts w:ascii="Times New Roman" w:hAnsi="Times New Roman" w:cs="Times New Roman"/>
      </w:rPr>
      <w:fldChar w:fldCharType="separate"/>
    </w:r>
    <w:r w:rsidR="00223562">
      <w:rPr>
        <w:rStyle w:val="PageNumber"/>
        <w:rFonts w:ascii="Times New Roman" w:hAnsi="Times New Roman" w:cs="Times New Roman"/>
        <w:noProof/>
      </w:rPr>
      <w:t>4</w:t>
    </w:r>
    <w:r w:rsidRPr="00D509D4">
      <w:rPr>
        <w:rStyle w:val="PageNumber"/>
        <w:rFonts w:ascii="Times New Roman" w:hAnsi="Times New Roman" w:cs="Times New Roman"/>
      </w:rPr>
      <w:fldChar w:fldCharType="end"/>
    </w:r>
  </w:p>
  <w:p w14:paraId="7D34267C" w14:textId="77777777" w:rsidR="00D509D4" w:rsidRPr="00D509D4" w:rsidRDefault="002E4D76" w:rsidP="00D509D4">
    <w:pPr>
      <w:pStyle w:val="Header"/>
      <w:ind w:right="360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8692D" w14:textId="77777777" w:rsidR="00D509D4" w:rsidRDefault="004524D8" w:rsidP="001413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587C701" w14:textId="77777777" w:rsidR="00D509D4" w:rsidRDefault="002E4D76" w:rsidP="00D509D4">
    <w:pPr>
      <w:pStyle w:val="Header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65"/>
    <w:rsid w:val="00223562"/>
    <w:rsid w:val="002E4D76"/>
    <w:rsid w:val="00367A9D"/>
    <w:rsid w:val="004524D8"/>
    <w:rsid w:val="00453AA6"/>
    <w:rsid w:val="004D383F"/>
    <w:rsid w:val="005B3E0F"/>
    <w:rsid w:val="006D6115"/>
    <w:rsid w:val="006E2A39"/>
    <w:rsid w:val="00714F5A"/>
    <w:rsid w:val="00781B22"/>
    <w:rsid w:val="0078348B"/>
    <w:rsid w:val="007F771F"/>
    <w:rsid w:val="008B1421"/>
    <w:rsid w:val="008C2763"/>
    <w:rsid w:val="00AA4F65"/>
    <w:rsid w:val="00AF0A84"/>
    <w:rsid w:val="00B53CE9"/>
    <w:rsid w:val="00C86345"/>
    <w:rsid w:val="00CC630F"/>
    <w:rsid w:val="00E637A1"/>
    <w:rsid w:val="00E73D5F"/>
    <w:rsid w:val="00EE45A2"/>
    <w:rsid w:val="00FD40AC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2483A"/>
  <w15:chartTrackingRefBased/>
  <w15:docId w15:val="{162A4973-CF39-4C3F-9845-D4C23DF5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4F6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F65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A4F65"/>
  </w:style>
  <w:style w:type="table" w:styleId="TableGrid">
    <w:name w:val="Table Grid"/>
    <w:basedOn w:val="TableNormal"/>
    <w:uiPriority w:val="59"/>
    <w:rsid w:val="006E2A39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6E2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Normal1">
    <w:name w:val="Normal1"/>
    <w:rsid w:val="004D383F"/>
    <w:rPr>
      <w:rFonts w:ascii="Calibri" w:eastAsia="Calibri" w:hAnsi="Calibri" w:cs="Calibri"/>
      <w:color w:val="00000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F0A8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1B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B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B22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B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B2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B2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B22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osner@email.unc.edu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622</Words>
  <Characters>3552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Mosner, Maya Gelman</dc:creator>
  <cp:keywords/>
  <dc:description/>
  <cp:lastModifiedBy>Microsoft Office User</cp:lastModifiedBy>
  <cp:revision>2</cp:revision>
  <dcterms:created xsi:type="dcterms:W3CDTF">2017-06-27T14:00:00Z</dcterms:created>
  <dcterms:modified xsi:type="dcterms:W3CDTF">2017-06-27T14:00:00Z</dcterms:modified>
</cp:coreProperties>
</file>