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49" w:rsidRPr="007D2F5C" w:rsidRDefault="00615F49" w:rsidP="00615F49">
      <w:pPr>
        <w:jc w:val="center"/>
        <w:rPr>
          <w:b/>
          <w:sz w:val="32"/>
          <w:szCs w:val="32"/>
        </w:rPr>
      </w:pPr>
      <w:r w:rsidRPr="007D2F5C">
        <w:rPr>
          <w:b/>
          <w:sz w:val="32"/>
          <w:szCs w:val="32"/>
        </w:rPr>
        <w:t>ON-LINE APPENDICES</w:t>
      </w:r>
    </w:p>
    <w:p w:rsidR="00615F49" w:rsidRPr="009D240C" w:rsidRDefault="00615F49" w:rsidP="00615F49">
      <w:pPr>
        <w:rPr>
          <w:b/>
        </w:rPr>
      </w:pPr>
    </w:p>
    <w:p w:rsidR="00615F49" w:rsidRPr="009D240C" w:rsidRDefault="00615F49" w:rsidP="00615F49">
      <w:pPr>
        <w:rPr>
          <w:b/>
        </w:rPr>
      </w:pPr>
      <w:r>
        <w:rPr>
          <w:b/>
        </w:rPr>
        <w:t>Appendix 1 – Codes used to define</w:t>
      </w:r>
      <w:r w:rsidRPr="009D240C">
        <w:rPr>
          <w:b/>
        </w:rPr>
        <w:t xml:space="preserve"> </w:t>
      </w:r>
      <w:proofErr w:type="spellStart"/>
      <w:r>
        <w:rPr>
          <w:b/>
        </w:rPr>
        <w:t>comorbid</w:t>
      </w:r>
      <w:proofErr w:type="spellEnd"/>
      <w:r>
        <w:rPr>
          <w:b/>
        </w:rPr>
        <w:t xml:space="preserve"> </w:t>
      </w:r>
      <w:r w:rsidRPr="009D240C">
        <w:rPr>
          <w:b/>
        </w:rPr>
        <w:t>psych</w:t>
      </w:r>
      <w:r>
        <w:rPr>
          <w:b/>
        </w:rPr>
        <w:t>iatric</w:t>
      </w:r>
      <w:r w:rsidRPr="009D240C">
        <w:rPr>
          <w:b/>
        </w:rPr>
        <w:t xml:space="preserve"> co</w:t>
      </w:r>
      <w:r>
        <w:rPr>
          <w:b/>
        </w:rPr>
        <w:t>nditions and mental health</w:t>
      </w:r>
      <w:r w:rsidRPr="009D240C">
        <w:rPr>
          <w:b/>
        </w:rPr>
        <w:t xml:space="preserve"> visits </w:t>
      </w:r>
    </w:p>
    <w:p w:rsidR="00615F49" w:rsidRPr="009D240C" w:rsidRDefault="00615F49" w:rsidP="00615F49">
      <w:pPr>
        <w:rPr>
          <w:b/>
        </w:rPr>
      </w:pPr>
      <w:r w:rsidRPr="000B44DC">
        <w:rPr>
          <w:noProof/>
        </w:rPr>
        <w:drawing>
          <wp:inline distT="0" distB="0" distL="0" distR="0">
            <wp:extent cx="5943600" cy="6519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5943600" cy="6519535"/>
                    </a:xfrm>
                    <a:prstGeom prst="rect">
                      <a:avLst/>
                    </a:prstGeom>
                    <a:noFill/>
                    <a:ln>
                      <a:noFill/>
                    </a:ln>
                  </pic:spPr>
                </pic:pic>
              </a:graphicData>
            </a:graphic>
          </wp:inline>
        </w:drawing>
      </w:r>
    </w:p>
    <w:p w:rsidR="00615F49" w:rsidRDefault="00615F49" w:rsidP="00615F49">
      <w:pPr>
        <w:rPr>
          <w:b/>
        </w:rPr>
      </w:pPr>
      <w:r>
        <w:rPr>
          <w:b/>
        </w:rPr>
        <w:br w:type="page"/>
      </w:r>
    </w:p>
    <w:p w:rsidR="00615F49" w:rsidRPr="009D240C" w:rsidRDefault="00615F49" w:rsidP="00615F49">
      <w:pPr>
        <w:rPr>
          <w:b/>
        </w:rPr>
      </w:pPr>
      <w:r w:rsidRPr="009D240C">
        <w:rPr>
          <w:b/>
        </w:rPr>
        <w:lastRenderedPageBreak/>
        <w:t xml:space="preserve">Appendix 2 – List of </w:t>
      </w:r>
      <w:r>
        <w:rPr>
          <w:b/>
        </w:rPr>
        <w:t xml:space="preserve">targeted </w:t>
      </w:r>
      <w:r w:rsidRPr="009D240C">
        <w:rPr>
          <w:b/>
        </w:rPr>
        <w:t>psychotropic medications in this study</w:t>
      </w:r>
      <w:r>
        <w:rPr>
          <w:b/>
        </w:rPr>
        <w:t>, by class</w:t>
      </w:r>
    </w:p>
    <w:p w:rsidR="00615F49" w:rsidRPr="009D240C" w:rsidRDefault="00615F49" w:rsidP="00615F49">
      <w:r w:rsidRPr="009D240C">
        <w:t>Includes</w:t>
      </w:r>
      <w:r>
        <w:t xml:space="preserve"> </w:t>
      </w:r>
      <w:r w:rsidRPr="009D240C">
        <w:t xml:space="preserve">medications </w:t>
      </w:r>
      <w:r>
        <w:t>not observed</w:t>
      </w:r>
      <w:r w:rsidRPr="009D240C">
        <w:t>.</w:t>
      </w:r>
      <w:r>
        <w:t xml:space="preserve"> Only g</w:t>
      </w:r>
      <w:r w:rsidRPr="009D240C">
        <w:t xml:space="preserve">eneric names </w:t>
      </w:r>
      <w:r>
        <w:t>provided</w:t>
      </w:r>
      <w:r w:rsidRPr="009D240C">
        <w:t xml:space="preserve">; brand name products, combination products, and minor variations in formulation (e.g., </w:t>
      </w:r>
      <w:proofErr w:type="spellStart"/>
      <w:r w:rsidRPr="009D240C">
        <w:t>valproate</w:t>
      </w:r>
      <w:proofErr w:type="spellEnd"/>
      <w:r w:rsidRPr="009D240C">
        <w:t xml:space="preserve">, </w:t>
      </w:r>
      <w:proofErr w:type="spellStart"/>
      <w:r w:rsidRPr="009D240C">
        <w:t>valproic</w:t>
      </w:r>
      <w:proofErr w:type="spellEnd"/>
      <w:r w:rsidRPr="009D240C">
        <w:t xml:space="preserve"> acid, </w:t>
      </w:r>
      <w:proofErr w:type="spellStart"/>
      <w:proofErr w:type="gramStart"/>
      <w:r w:rsidRPr="009D240C">
        <w:t>divalproex</w:t>
      </w:r>
      <w:proofErr w:type="spellEnd"/>
      <w:proofErr w:type="gramEnd"/>
      <w:r w:rsidRPr="009D240C">
        <w:t xml:space="preserve">) were included in the study, but </w:t>
      </w:r>
      <w:r>
        <w:t xml:space="preserve">are not necessarily listed below, </w:t>
      </w:r>
      <w:r w:rsidRPr="009D240C">
        <w:t>for simplicity.</w:t>
      </w:r>
    </w:p>
    <w:p w:rsidR="00615F49" w:rsidRPr="009D240C" w:rsidRDefault="00615F49" w:rsidP="00615F49">
      <w:pPr>
        <w:sectPr w:rsidR="00615F49" w:rsidRPr="009D240C" w:rsidSect="00615F49">
          <w:headerReference w:type="default" r:id="rId5"/>
          <w:pgSz w:w="12240" w:h="15840"/>
          <w:pgMar w:top="1440" w:right="1440" w:bottom="1440" w:left="1440" w:header="720" w:footer="720" w:gutter="0"/>
          <w:lnNumType w:countBy="1" w:restart="continuous"/>
          <w:cols w:space="720"/>
          <w:docGrid w:linePitch="360"/>
        </w:sectPr>
      </w:pPr>
      <w:r w:rsidRPr="00CE1750">
        <w:rPr>
          <w:noProof/>
        </w:rPr>
        <w:drawing>
          <wp:inline distT="0" distB="0" distL="0" distR="0">
            <wp:extent cx="5830467" cy="720832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5834979" cy="7213901"/>
                    </a:xfrm>
                    <a:prstGeom prst="rect">
                      <a:avLst/>
                    </a:prstGeom>
                    <a:noFill/>
                    <a:ln>
                      <a:noFill/>
                    </a:ln>
                  </pic:spPr>
                </pic:pic>
              </a:graphicData>
            </a:graphic>
          </wp:inline>
        </w:drawing>
      </w:r>
    </w:p>
    <w:p w:rsidR="00615F49" w:rsidRPr="004A0794" w:rsidRDefault="00615F49" w:rsidP="00615F49">
      <w:pPr>
        <w:rPr>
          <w:b/>
        </w:rPr>
      </w:pPr>
      <w:proofErr w:type="gramStart"/>
      <w:r w:rsidRPr="004A0794">
        <w:rPr>
          <w:b/>
        </w:rPr>
        <w:lastRenderedPageBreak/>
        <w:t xml:space="preserve">Appendix 3 – </w:t>
      </w:r>
      <w:r>
        <w:rPr>
          <w:b/>
        </w:rPr>
        <w:t>D</w:t>
      </w:r>
      <w:r w:rsidRPr="004A0794">
        <w:rPr>
          <w:b/>
        </w:rPr>
        <w:t>etail</w:t>
      </w:r>
      <w:r>
        <w:rPr>
          <w:b/>
        </w:rPr>
        <w:t xml:space="preserve">ed results on </w:t>
      </w:r>
      <w:r w:rsidRPr="004A0794">
        <w:rPr>
          <w:b/>
        </w:rPr>
        <w:t xml:space="preserve">use </w:t>
      </w:r>
      <w:r>
        <w:rPr>
          <w:b/>
        </w:rPr>
        <w:t xml:space="preserve">in 2010 </w:t>
      </w:r>
      <w:r w:rsidRPr="004A0794">
        <w:rPr>
          <w:b/>
        </w:rPr>
        <w:t>of the 4 major therapeutic</w:t>
      </w:r>
      <w:r>
        <w:rPr>
          <w:b/>
        </w:rPr>
        <w:t xml:space="preserve"> categories, by </w:t>
      </w:r>
      <w:proofErr w:type="spellStart"/>
      <w:r>
        <w:rPr>
          <w:b/>
        </w:rPr>
        <w:t>ASD</w:t>
      </w:r>
      <w:proofErr w:type="spellEnd"/>
      <w:r>
        <w:rPr>
          <w:b/>
        </w:rPr>
        <w:t xml:space="preserve"> </w:t>
      </w:r>
      <w:proofErr w:type="spellStart"/>
      <w:r>
        <w:rPr>
          <w:b/>
        </w:rPr>
        <w:t>vs</w:t>
      </w:r>
      <w:proofErr w:type="spellEnd"/>
      <w:r>
        <w:rPr>
          <w:b/>
        </w:rPr>
        <w:t xml:space="preserve"> no </w:t>
      </w:r>
      <w:proofErr w:type="spellStart"/>
      <w:r>
        <w:rPr>
          <w:b/>
        </w:rPr>
        <w:t>ASD</w:t>
      </w:r>
      <w:proofErr w:type="spellEnd"/>
      <w:r w:rsidRPr="004A0794">
        <w:rPr>
          <w:b/>
        </w:rPr>
        <w:t>, age, and sex.</w:t>
      </w:r>
      <w:proofErr w:type="gramEnd"/>
    </w:p>
    <w:p w:rsidR="00615F49" w:rsidRDefault="00615F49" w:rsidP="00615F49">
      <w:pPr>
        <w:tabs>
          <w:tab w:val="left" w:pos="0"/>
        </w:tabs>
        <w:ind w:left="720" w:hanging="1440"/>
      </w:pPr>
      <w:r w:rsidRPr="00276A2C">
        <w:rPr>
          <w:noProof/>
        </w:rPr>
        <w:drawing>
          <wp:inline distT="0" distB="0" distL="0" distR="0">
            <wp:extent cx="8996293" cy="51538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9010953" cy="5162289"/>
                    </a:xfrm>
                    <a:prstGeom prst="rect">
                      <a:avLst/>
                    </a:prstGeom>
                    <a:noFill/>
                    <a:ln>
                      <a:noFill/>
                    </a:ln>
                  </pic:spPr>
                </pic:pic>
              </a:graphicData>
            </a:graphic>
          </wp:inline>
        </w:drawing>
      </w:r>
    </w:p>
    <w:p w:rsidR="00615F49" w:rsidRDefault="00615F49" w:rsidP="00615F49">
      <w:r>
        <w:t>Notes:  * small cell count, &lt;6 individuals.</w:t>
      </w:r>
      <w:r>
        <w:br w:type="page"/>
      </w:r>
    </w:p>
    <w:p w:rsidR="00615F49" w:rsidRPr="009D240C" w:rsidRDefault="00615F49" w:rsidP="00615F49">
      <w:pPr>
        <w:rPr>
          <w:color w:val="403152" w:themeColor="accent4" w:themeShade="80"/>
          <w:highlight w:val="yellow"/>
        </w:rPr>
        <w:sectPr w:rsidR="00615F49" w:rsidRPr="009D240C" w:rsidSect="00244374">
          <w:pgSz w:w="15840" w:h="12240" w:orient="landscape"/>
          <w:pgMar w:top="1440" w:right="1440" w:bottom="1440" w:left="1440" w:header="720" w:footer="720" w:gutter="0"/>
          <w:cols w:space="720"/>
          <w:docGrid w:linePitch="360"/>
        </w:sectPr>
      </w:pPr>
    </w:p>
    <w:p w:rsidR="00615F49" w:rsidRPr="009D240C" w:rsidRDefault="00615F49" w:rsidP="00615F49">
      <w:pPr>
        <w:rPr>
          <w:b/>
          <w:color w:val="403152" w:themeColor="accent4" w:themeShade="80"/>
        </w:rPr>
      </w:pPr>
      <w:r w:rsidRPr="009D240C">
        <w:rPr>
          <w:b/>
          <w:color w:val="403152" w:themeColor="accent4" w:themeShade="80"/>
        </w:rPr>
        <w:lastRenderedPageBreak/>
        <w:t>Appendix 4 – Specific medications most frequently dispensed</w:t>
      </w:r>
      <w:r>
        <w:rPr>
          <w:b/>
          <w:color w:val="403152" w:themeColor="accent4" w:themeShade="80"/>
        </w:rPr>
        <w:t xml:space="preserve"> to children with </w:t>
      </w:r>
      <w:proofErr w:type="spellStart"/>
      <w:r>
        <w:rPr>
          <w:b/>
          <w:color w:val="403152" w:themeColor="accent4" w:themeShade="80"/>
        </w:rPr>
        <w:t>ASD</w:t>
      </w:r>
      <w:proofErr w:type="spellEnd"/>
      <w:r>
        <w:rPr>
          <w:b/>
          <w:color w:val="403152" w:themeColor="accent4" w:themeShade="80"/>
        </w:rPr>
        <w:t xml:space="preserve"> in 2010</w:t>
      </w:r>
      <w:r w:rsidRPr="009D240C">
        <w:rPr>
          <w:b/>
          <w:color w:val="403152" w:themeColor="accent4" w:themeShade="80"/>
        </w:rPr>
        <w:t>,</w:t>
      </w:r>
      <w:r>
        <w:rPr>
          <w:b/>
          <w:color w:val="403152" w:themeColor="accent4" w:themeShade="80"/>
        </w:rPr>
        <w:t xml:space="preserve"> overall and</w:t>
      </w:r>
      <w:r w:rsidRPr="009D240C">
        <w:rPr>
          <w:b/>
          <w:color w:val="403152" w:themeColor="accent4" w:themeShade="80"/>
        </w:rPr>
        <w:t xml:space="preserve"> by sex</w:t>
      </w:r>
    </w:p>
    <w:p w:rsidR="00615F49" w:rsidRDefault="00615F49" w:rsidP="00615F49">
      <w:pPr>
        <w:rPr>
          <w:color w:val="403152" w:themeColor="accent4" w:themeShade="80"/>
          <w:highlight w:val="yellow"/>
        </w:rPr>
      </w:pPr>
      <w:r w:rsidRPr="005A57C0">
        <w:rPr>
          <w:noProof/>
        </w:rPr>
        <w:drawing>
          <wp:inline distT="0" distB="0" distL="0" distR="0">
            <wp:extent cx="5767550" cy="7303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5770033" cy="7306469"/>
                    </a:xfrm>
                    <a:prstGeom prst="rect">
                      <a:avLst/>
                    </a:prstGeom>
                    <a:noFill/>
                    <a:ln>
                      <a:noFill/>
                    </a:ln>
                  </pic:spPr>
                </pic:pic>
              </a:graphicData>
            </a:graphic>
          </wp:inline>
        </w:drawing>
      </w:r>
    </w:p>
    <w:p w:rsidR="00615F49" w:rsidRPr="00BA00E2" w:rsidRDefault="00615F49" w:rsidP="00615F49">
      <w:pPr>
        <w:rPr>
          <w:sz w:val="18"/>
          <w:szCs w:val="18"/>
        </w:rPr>
      </w:pPr>
      <w:r w:rsidRPr="00BA00E2">
        <w:rPr>
          <w:color w:val="403152" w:themeColor="accent4" w:themeShade="80"/>
          <w:sz w:val="18"/>
          <w:szCs w:val="18"/>
        </w:rPr>
        <w:t xml:space="preserve">Additional </w:t>
      </w:r>
      <w:r>
        <w:rPr>
          <w:color w:val="403152" w:themeColor="accent4" w:themeShade="80"/>
          <w:sz w:val="18"/>
          <w:szCs w:val="18"/>
        </w:rPr>
        <w:t>specific drug entities observed but each representing less than 0.2% of all fills received</w:t>
      </w:r>
      <w:r w:rsidRPr="00BA00E2">
        <w:rPr>
          <w:color w:val="403152" w:themeColor="accent4" w:themeShade="80"/>
          <w:sz w:val="18"/>
          <w:szCs w:val="18"/>
        </w:rPr>
        <w:t xml:space="preserve"> were</w:t>
      </w:r>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clozapine</w:t>
      </w:r>
      <w:proofErr w:type="spellEnd"/>
      <w:r>
        <w:rPr>
          <w:color w:val="403152" w:themeColor="accent4" w:themeShade="80"/>
          <w:sz w:val="18"/>
          <w:szCs w:val="18"/>
        </w:rPr>
        <w:t>;</w:t>
      </w:r>
      <w:r w:rsidRPr="00BA00E2">
        <w:rPr>
          <w:color w:val="403152" w:themeColor="accent4" w:themeShade="80"/>
          <w:sz w:val="18"/>
          <w:szCs w:val="18"/>
        </w:rPr>
        <w:t xml:space="preserve"> chlorpromazine</w:t>
      </w:r>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paliperidone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alprazolam</w:t>
      </w:r>
      <w:proofErr w:type="spellEnd"/>
      <w:r>
        <w:rPr>
          <w:color w:val="403152" w:themeColor="accent4" w:themeShade="80"/>
          <w:sz w:val="18"/>
          <w:szCs w:val="18"/>
        </w:rPr>
        <w:t>;</w:t>
      </w:r>
      <w:r w:rsidRPr="00BA00E2">
        <w:rPr>
          <w:color w:val="403152" w:themeColor="accent4" w:themeShade="80"/>
          <w:sz w:val="18"/>
          <w:szCs w:val="18"/>
        </w:rPr>
        <w:t xml:space="preserve"> haloperidol</w:t>
      </w:r>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zolpidem</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clorazepate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modafinil</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thioridazine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loxapine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pregabalin</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temazepam</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perphenazine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asenapine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divalproex</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eszopiclone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pimozide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prochlorperazine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thiothixene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tiagabine</w:t>
      </w:r>
      <w:proofErr w:type="spellEnd"/>
      <w:r>
        <w:rPr>
          <w:color w:val="403152" w:themeColor="accent4" w:themeShade="80"/>
          <w:sz w:val="18"/>
          <w:szCs w:val="18"/>
        </w:rPr>
        <w:t>;</w:t>
      </w:r>
      <w:r w:rsidRPr="00BA00E2">
        <w:rPr>
          <w:color w:val="403152" w:themeColor="accent4" w:themeShade="80"/>
          <w:sz w:val="18"/>
          <w:szCs w:val="18"/>
        </w:rPr>
        <w:t xml:space="preserve"> </w:t>
      </w:r>
      <w:proofErr w:type="spellStart"/>
      <w:r w:rsidRPr="00BA00E2">
        <w:rPr>
          <w:color w:val="403152" w:themeColor="accent4" w:themeShade="80"/>
          <w:sz w:val="18"/>
          <w:szCs w:val="18"/>
        </w:rPr>
        <w:t>triazolam</w:t>
      </w:r>
      <w:proofErr w:type="spellEnd"/>
      <w:r w:rsidRPr="00BA00E2">
        <w:rPr>
          <w:color w:val="403152" w:themeColor="accent4" w:themeShade="80"/>
          <w:sz w:val="18"/>
          <w:szCs w:val="18"/>
        </w:rPr>
        <w:t>.</w:t>
      </w:r>
      <w:r w:rsidRPr="00BA00E2">
        <w:rPr>
          <w:sz w:val="18"/>
          <w:szCs w:val="18"/>
        </w:rPr>
        <w:br w:type="page"/>
      </w:r>
    </w:p>
    <w:p w:rsidR="00615F49" w:rsidRPr="00A46442" w:rsidRDefault="00615F49" w:rsidP="00615F49">
      <w:pPr>
        <w:rPr>
          <w:b/>
        </w:rPr>
      </w:pPr>
      <w:r w:rsidRPr="00A46442">
        <w:rPr>
          <w:b/>
        </w:rPr>
        <w:lastRenderedPageBreak/>
        <w:t xml:space="preserve">Appendix 5 – Sensitivity analyses considering earlier </w:t>
      </w:r>
      <w:proofErr w:type="spellStart"/>
      <w:r w:rsidRPr="00A46442">
        <w:rPr>
          <w:b/>
        </w:rPr>
        <w:t>ASD</w:t>
      </w:r>
      <w:proofErr w:type="spellEnd"/>
      <w:r w:rsidRPr="00A46442">
        <w:rPr>
          <w:b/>
        </w:rPr>
        <w:t xml:space="preserve"> diagnoses</w:t>
      </w:r>
    </w:p>
    <w:p w:rsidR="00615F49" w:rsidRPr="00A46442" w:rsidRDefault="00615F49" w:rsidP="00615F49">
      <w:pPr>
        <w:rPr>
          <w:b/>
        </w:rPr>
      </w:pPr>
      <w:r w:rsidRPr="00A46442">
        <w:rPr>
          <w:b/>
        </w:rPr>
        <w:t xml:space="preserve"> </w:t>
      </w:r>
    </w:p>
    <w:p w:rsidR="00615F49" w:rsidRPr="00A46442" w:rsidRDefault="00615F49" w:rsidP="00615F49">
      <w:r w:rsidRPr="00A46442">
        <w:t xml:space="preserve">Our main study cohorts </w:t>
      </w:r>
      <w:r>
        <w:t>u</w:t>
      </w:r>
      <w:r w:rsidRPr="00A46442">
        <w:t>s</w:t>
      </w:r>
      <w:r>
        <w:t>ed</w:t>
      </w:r>
      <w:r w:rsidRPr="00A46442">
        <w:t xml:space="preserve"> a </w:t>
      </w:r>
      <w:r>
        <w:t xml:space="preserve">relatively strict, </w:t>
      </w:r>
      <w:r w:rsidRPr="00A46442">
        <w:t xml:space="preserve">short-view design </w:t>
      </w:r>
      <w:r>
        <w:t xml:space="preserve">for cohort assignment, requiring </w:t>
      </w:r>
      <w:r w:rsidRPr="00A46442">
        <w:t xml:space="preserve">2 </w:t>
      </w:r>
      <w:proofErr w:type="spellStart"/>
      <w:r w:rsidRPr="00A46442">
        <w:t>ASD</w:t>
      </w:r>
      <w:proofErr w:type="spellEnd"/>
      <w:r w:rsidRPr="00A46442">
        <w:t xml:space="preserve"> </w:t>
      </w:r>
      <w:proofErr w:type="spellStart"/>
      <w:r w:rsidRPr="00A46442">
        <w:t>dx</w:t>
      </w:r>
      <w:proofErr w:type="spellEnd"/>
      <w:r w:rsidRPr="00A46442">
        <w:t xml:space="preserve"> </w:t>
      </w:r>
      <w:r>
        <w:t xml:space="preserve">(cases) </w:t>
      </w:r>
      <w:r w:rsidRPr="00A46442">
        <w:t xml:space="preserve">or no </w:t>
      </w:r>
      <w:proofErr w:type="spellStart"/>
      <w:r w:rsidRPr="00A46442">
        <w:t>ASD</w:t>
      </w:r>
      <w:proofErr w:type="spellEnd"/>
      <w:r w:rsidRPr="00A46442">
        <w:t xml:space="preserve"> </w:t>
      </w:r>
      <w:proofErr w:type="spellStart"/>
      <w:r w:rsidRPr="00A46442">
        <w:t>dx</w:t>
      </w:r>
      <w:proofErr w:type="spellEnd"/>
      <w:r w:rsidRPr="00A46442">
        <w:t xml:space="preserve"> </w:t>
      </w:r>
      <w:r>
        <w:t>(controls) in 2009-2010</w:t>
      </w:r>
      <w:r w:rsidRPr="00A46442">
        <w:t xml:space="preserve">. </w:t>
      </w:r>
      <w:r>
        <w:t xml:space="preserve">By considering only recent diagnoses, our intent was to better ensure that </w:t>
      </w:r>
      <w:proofErr w:type="spellStart"/>
      <w:r>
        <w:t>ASD</w:t>
      </w:r>
      <w:proofErr w:type="spellEnd"/>
      <w:r>
        <w:t xml:space="preserve"> cases were valid and current.  All study design decisions trade off advantages and disadvantages.  One limitation of the short-view design we selected was that we likely excluded many still-valid </w:t>
      </w:r>
      <w:proofErr w:type="spellStart"/>
      <w:r>
        <w:t>ASD</w:t>
      </w:r>
      <w:proofErr w:type="spellEnd"/>
      <w:r>
        <w:t xml:space="preserve"> cases whose diagnoses were recorded in earlier years.  Qualifying diagnoses in our main design include both first-time and follow-up </w:t>
      </w:r>
      <w:proofErr w:type="spellStart"/>
      <w:r>
        <w:t>ASD</w:t>
      </w:r>
      <w:proofErr w:type="spellEnd"/>
      <w:r>
        <w:t xml:space="preserve"> diagnoses.</w:t>
      </w:r>
    </w:p>
    <w:p w:rsidR="00615F49" w:rsidRPr="00A46442" w:rsidRDefault="00615F49" w:rsidP="00615F49"/>
    <w:p w:rsidR="00615F49" w:rsidRPr="009D240C" w:rsidRDefault="00615F49" w:rsidP="00615F49">
      <w:r>
        <w:t>Our</w:t>
      </w:r>
      <w:r w:rsidRPr="00A46442">
        <w:t xml:space="preserve"> sensitivity analys</w:t>
      </w:r>
      <w:r>
        <w:t>e</w:t>
      </w:r>
      <w:r w:rsidRPr="00A46442">
        <w:t>s</w:t>
      </w:r>
      <w:r>
        <w:t>, by contrast,</w:t>
      </w:r>
      <w:r w:rsidRPr="00A46442">
        <w:t xml:space="preserve"> used a longer-view design </w:t>
      </w:r>
      <w:r>
        <w:t xml:space="preserve">with diagnostic qualification </w:t>
      </w:r>
      <w:r w:rsidRPr="00A46442">
        <w:t>based on all available records between 2000 and 2010. Subjects were all required to have enrollment and 2 health system contacts in 2009-2010</w:t>
      </w:r>
      <w:r>
        <w:t>,</w:t>
      </w:r>
      <w:r w:rsidRPr="00A46442">
        <w:t xml:space="preserve"> as in the main analyses.  In addition, </w:t>
      </w:r>
      <w:proofErr w:type="spellStart"/>
      <w:r w:rsidRPr="00A46442">
        <w:t>ASD</w:t>
      </w:r>
      <w:proofErr w:type="spellEnd"/>
      <w:r w:rsidRPr="00A46442">
        <w:t xml:space="preserve"> cases were required to have one diagnosis of </w:t>
      </w:r>
      <w:proofErr w:type="spellStart"/>
      <w:r w:rsidRPr="00A46442">
        <w:t>ASD</w:t>
      </w:r>
      <w:proofErr w:type="spellEnd"/>
      <w:r w:rsidRPr="00A46442">
        <w:t xml:space="preserve"> in 2000-2009 and at least one additional </w:t>
      </w:r>
      <w:proofErr w:type="spellStart"/>
      <w:r w:rsidRPr="00A46442">
        <w:t>ASD</w:t>
      </w:r>
      <w:proofErr w:type="spellEnd"/>
      <w:r w:rsidRPr="00A46442">
        <w:t xml:space="preserve"> diagnosis in 2000-2010. Controls </w:t>
      </w:r>
      <w:r>
        <w:t>had</w:t>
      </w:r>
      <w:r w:rsidRPr="00A46442">
        <w:t xml:space="preserve"> no </w:t>
      </w:r>
      <w:proofErr w:type="spellStart"/>
      <w:r w:rsidRPr="00A46442">
        <w:t>ASD</w:t>
      </w:r>
      <w:proofErr w:type="spellEnd"/>
      <w:r w:rsidRPr="00A46442">
        <w:t xml:space="preserve"> diagnoses in 2000-2010. We </w:t>
      </w:r>
      <w:r>
        <w:t xml:space="preserve">attempted to </w:t>
      </w:r>
      <w:r w:rsidRPr="00A46442">
        <w:t>match children 10:1 (non-</w:t>
      </w:r>
      <w:proofErr w:type="spellStart"/>
      <w:r w:rsidRPr="00A46442">
        <w:t>ASD</w:t>
      </w:r>
      <w:proofErr w:type="spellEnd"/>
      <w:r w:rsidRPr="00A46442">
        <w:t xml:space="preserve"> to </w:t>
      </w:r>
      <w:proofErr w:type="spellStart"/>
      <w:r w:rsidRPr="00A46442">
        <w:t>ASD</w:t>
      </w:r>
      <w:proofErr w:type="spellEnd"/>
      <w:r w:rsidRPr="00A46442">
        <w:t>) on age, sex, 2009 enrollment quarters</w:t>
      </w:r>
      <w:r w:rsidRPr="009D240C">
        <w:t>, and total 2000-2009 enrollment quarters.</w:t>
      </w:r>
      <w:r>
        <w:t xml:space="preserve"> A full complement of 10 matches was not available for every case; we retained all 12,633 cases and 124,443 available </w:t>
      </w:r>
      <w:proofErr w:type="gramStart"/>
      <w:r>
        <w:t>matches</w:t>
      </w:r>
      <w:proofErr w:type="gramEnd"/>
      <w:r>
        <w:t xml:space="preserve">. </w:t>
      </w:r>
      <w:r w:rsidRPr="009D240C">
        <w:t>W</w:t>
      </w:r>
      <w:r>
        <w:t>e repeated all study analyses using</w:t>
      </w:r>
      <w:r w:rsidRPr="009D240C">
        <w:t xml:space="preserve"> these longer-view cohorts.</w:t>
      </w:r>
      <w:r>
        <w:t xml:space="preserve"> </w:t>
      </w:r>
    </w:p>
    <w:p w:rsidR="00615F49" w:rsidRPr="009D240C" w:rsidRDefault="00615F49" w:rsidP="00615F49"/>
    <w:p w:rsidR="00615F49" w:rsidRDefault="00615F49" w:rsidP="00615F49">
      <w:r>
        <w:t>The longer-view</w:t>
      </w:r>
      <w:r w:rsidRPr="009D240C">
        <w:t xml:space="preserve"> cohorts were each 60% larger than the cohorts in </w:t>
      </w:r>
      <w:r>
        <w:t>the main analyses presented in the paper</w:t>
      </w:r>
      <w:r w:rsidRPr="009D240C">
        <w:t>.</w:t>
      </w:r>
      <w:r>
        <w:t xml:space="preserve"> As we expected </w:t>
      </w:r>
      <w:r w:rsidRPr="00E471C5">
        <w:rPr>
          <w:i/>
        </w:rPr>
        <w:t>a priori</w:t>
      </w:r>
      <w:r>
        <w:t xml:space="preserve">, </w:t>
      </w:r>
      <w:proofErr w:type="gramStart"/>
      <w:r>
        <w:t>more older</w:t>
      </w:r>
      <w:proofErr w:type="gramEnd"/>
      <w:r>
        <w:t xml:space="preserve"> children, in particular, with </w:t>
      </w:r>
      <w:proofErr w:type="spellStart"/>
      <w:r>
        <w:t>ASD</w:t>
      </w:r>
      <w:proofErr w:type="spellEnd"/>
      <w:r>
        <w:t xml:space="preserve"> were identified: those</w:t>
      </w:r>
      <w:r w:rsidRPr="009D240C">
        <w:t xml:space="preserve"> aged 8-17 represented 78.5% of the added cases.</w:t>
      </w:r>
      <w:r>
        <w:t xml:space="preserve"> </w:t>
      </w:r>
      <w:r w:rsidRPr="009D240C">
        <w:t xml:space="preserve">We further observed that 771 children (out of 79,010) classified in our main analyses as having no </w:t>
      </w:r>
      <w:proofErr w:type="spellStart"/>
      <w:r w:rsidRPr="009D240C">
        <w:t>ASD</w:t>
      </w:r>
      <w:proofErr w:type="spellEnd"/>
      <w:r w:rsidRPr="009D240C">
        <w:t xml:space="preserve"> had actually received one or more </w:t>
      </w:r>
      <w:proofErr w:type="spellStart"/>
      <w:r w:rsidRPr="009D240C">
        <w:t>ASD</w:t>
      </w:r>
      <w:proofErr w:type="spellEnd"/>
      <w:r w:rsidRPr="009D240C">
        <w:t xml:space="preserve"> diagnoses prior to 2009.</w:t>
      </w:r>
      <w:r>
        <w:t xml:space="preserve"> To the extent that those 771 </w:t>
      </w:r>
      <w:proofErr w:type="spellStart"/>
      <w:r>
        <w:t>ASD</w:t>
      </w:r>
      <w:proofErr w:type="spellEnd"/>
      <w:r>
        <w:t xml:space="preserve"> cases may have still been valid in 2010, their misclassification in our main analyses represents an additional study limitation.  We present the sensitivity analyses in this appendix with an aim to be transparent, instructive, and balanced.</w:t>
      </w:r>
    </w:p>
    <w:p w:rsidR="00615F49" w:rsidRDefault="00615F49" w:rsidP="00615F49">
      <w:r>
        <w:br w:type="page"/>
      </w:r>
    </w:p>
    <w:p w:rsidR="00615F49" w:rsidRDefault="00615F49" w:rsidP="00615F49">
      <w:r>
        <w:lastRenderedPageBreak/>
        <w:t xml:space="preserve">Appendix Table </w:t>
      </w:r>
      <w:proofErr w:type="spellStart"/>
      <w:r>
        <w:t>5.a</w:t>
      </w:r>
      <w:proofErr w:type="spellEnd"/>
      <w:r>
        <w:t>. – Characteristics of shorter- and longer-view cohorts compared</w:t>
      </w:r>
    </w:p>
    <w:p w:rsidR="00615F49" w:rsidRDefault="00615F49" w:rsidP="00615F49"/>
    <w:p w:rsidR="00615F49" w:rsidRDefault="00615F49" w:rsidP="00615F49">
      <w:r w:rsidRPr="004B5C39">
        <w:rPr>
          <w:noProof/>
        </w:rPr>
        <w:drawing>
          <wp:inline distT="0" distB="0" distL="0" distR="0">
            <wp:extent cx="5845372" cy="6621518"/>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5845372" cy="6621518"/>
                    </a:xfrm>
                    <a:prstGeom prst="rect">
                      <a:avLst/>
                    </a:prstGeom>
                    <a:noFill/>
                    <a:ln>
                      <a:noFill/>
                    </a:ln>
                  </pic:spPr>
                </pic:pic>
              </a:graphicData>
            </a:graphic>
          </wp:inline>
        </w:drawing>
      </w:r>
    </w:p>
    <w:p w:rsidR="00615F49" w:rsidRDefault="00615F49" w:rsidP="00615F49">
      <w:r>
        <w:br w:type="page"/>
      </w:r>
    </w:p>
    <w:p w:rsidR="00615F49" w:rsidRDefault="00615F49" w:rsidP="00615F49">
      <w:r w:rsidRPr="009D240C">
        <w:lastRenderedPageBreak/>
        <w:t xml:space="preserve">In general, </w:t>
      </w:r>
      <w:r>
        <w:t xml:space="preserve">study results were similar and </w:t>
      </w:r>
      <w:r w:rsidRPr="009D240C">
        <w:t>remained statistically significant</w:t>
      </w:r>
      <w:r>
        <w:t xml:space="preserve"> in the longer-view cohort analyses</w:t>
      </w:r>
      <w:r w:rsidRPr="009D240C">
        <w:t xml:space="preserve">, though differences between </w:t>
      </w:r>
      <w:r>
        <w:t xml:space="preserve">children with and without </w:t>
      </w:r>
      <w:proofErr w:type="spellStart"/>
      <w:r>
        <w:t>ASD</w:t>
      </w:r>
      <w:proofErr w:type="spellEnd"/>
      <w:r>
        <w:t xml:space="preserve"> were attenuated</w:t>
      </w:r>
      <w:r w:rsidRPr="009D240C">
        <w:t>.</w:t>
      </w:r>
      <w:r>
        <w:t xml:space="preserve">  This was expected, because the case definition was relaxed. </w:t>
      </w:r>
      <w:r w:rsidRPr="009D240C">
        <w:t>The more flexible</w:t>
      </w:r>
      <w:r>
        <w:t xml:space="preserve"> qualification period was likely to have added, in particular, </w:t>
      </w:r>
      <w:r w:rsidRPr="009D240C">
        <w:t xml:space="preserve">cases </w:t>
      </w:r>
      <w:r>
        <w:t xml:space="preserve">with less severe autism symptoms, cases in </w:t>
      </w:r>
      <w:r w:rsidRPr="009D240C">
        <w:t xml:space="preserve">less need of </w:t>
      </w:r>
      <w:r>
        <w:t xml:space="preserve">medical </w:t>
      </w:r>
      <w:r w:rsidRPr="009D240C">
        <w:t>treatment</w:t>
      </w:r>
      <w:r>
        <w:t xml:space="preserve"> of any kind (zero or only 1 </w:t>
      </w:r>
      <w:proofErr w:type="spellStart"/>
      <w:r>
        <w:t>ASD</w:t>
      </w:r>
      <w:proofErr w:type="spellEnd"/>
      <w:r>
        <w:t xml:space="preserve"> diagnosis recorded in 2009-2010)</w:t>
      </w:r>
      <w:r w:rsidRPr="009D240C">
        <w:t xml:space="preserve">, </w:t>
      </w:r>
      <w:r>
        <w:t>cases receiving</w:t>
      </w:r>
      <w:r w:rsidRPr="009D240C">
        <w:t xml:space="preserve"> </w:t>
      </w:r>
      <w:proofErr w:type="spellStart"/>
      <w:r>
        <w:t>ASD</w:t>
      </w:r>
      <w:proofErr w:type="spellEnd"/>
      <w:r>
        <w:t xml:space="preserve">-related </w:t>
      </w:r>
      <w:r w:rsidRPr="009D240C">
        <w:t xml:space="preserve">services only </w:t>
      </w:r>
      <w:r>
        <w:t>in other settings outside of the health system site, and</w:t>
      </w:r>
      <w:r w:rsidRPr="009D240C">
        <w:t xml:space="preserve"> </w:t>
      </w:r>
      <w:r>
        <w:t xml:space="preserve">cases </w:t>
      </w:r>
      <w:r w:rsidRPr="009D240C">
        <w:t xml:space="preserve">whose </w:t>
      </w:r>
      <w:r>
        <w:t xml:space="preserve">earlier </w:t>
      </w:r>
      <w:proofErr w:type="spellStart"/>
      <w:r>
        <w:t>ASD</w:t>
      </w:r>
      <w:proofErr w:type="spellEnd"/>
      <w:r>
        <w:t xml:space="preserve"> diagnose</w:t>
      </w:r>
      <w:r w:rsidRPr="009D240C">
        <w:t xml:space="preserve">s </w:t>
      </w:r>
      <w:r>
        <w:t>had been revised or resolved</w:t>
      </w:r>
      <w:r w:rsidRPr="009D240C">
        <w:t>.</w:t>
      </w:r>
    </w:p>
    <w:p w:rsidR="00615F49" w:rsidRDefault="00615F49" w:rsidP="00615F49"/>
    <w:p w:rsidR="00615F49" w:rsidRDefault="00615F49" w:rsidP="00615F49">
      <w:r>
        <w:t xml:space="preserve">Appendix Table </w:t>
      </w:r>
      <w:proofErr w:type="spellStart"/>
      <w:r>
        <w:t>5.b</w:t>
      </w:r>
      <w:proofErr w:type="spellEnd"/>
      <w:r>
        <w:t>. – Selected results compared between shorter- and longer view cohorts</w:t>
      </w:r>
    </w:p>
    <w:p w:rsidR="00615F49" w:rsidRDefault="00615F49" w:rsidP="00615F49"/>
    <w:p w:rsidR="00615F49" w:rsidRDefault="00615F49" w:rsidP="00615F49">
      <w:r w:rsidRPr="005A57C0">
        <w:rPr>
          <w:noProof/>
        </w:rPr>
        <w:drawing>
          <wp:inline distT="0" distB="0" distL="0" distR="0">
            <wp:extent cx="5771043" cy="369570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5771043" cy="3695700"/>
                    </a:xfrm>
                    <a:prstGeom prst="rect">
                      <a:avLst/>
                    </a:prstGeom>
                    <a:noFill/>
                    <a:ln>
                      <a:noFill/>
                    </a:ln>
                  </pic:spPr>
                </pic:pic>
              </a:graphicData>
            </a:graphic>
          </wp:inline>
        </w:drawing>
      </w:r>
    </w:p>
    <w:p w:rsidR="00615F49" w:rsidRPr="009D240C" w:rsidRDefault="00615F49" w:rsidP="00615F49">
      <w:r>
        <w:t xml:space="preserve"> </w:t>
      </w:r>
    </w:p>
    <w:p w:rsidR="00615F49" w:rsidRDefault="00615F49" w:rsidP="00615F49">
      <w:pPr>
        <w:rPr>
          <w:color w:val="403152" w:themeColor="accent4" w:themeShade="80"/>
          <w:highlight w:val="yellow"/>
        </w:rPr>
      </w:pPr>
      <w:r>
        <w:rPr>
          <w:color w:val="403152" w:themeColor="accent4" w:themeShade="80"/>
        </w:rPr>
        <w:t xml:space="preserve">As context for these cohort designs, the population of all children aged </w:t>
      </w:r>
      <w:proofErr w:type="gramStart"/>
      <w:r>
        <w:rPr>
          <w:color w:val="403152" w:themeColor="accent4" w:themeShade="80"/>
        </w:rPr>
        <w:t>under</w:t>
      </w:r>
      <w:proofErr w:type="gramEnd"/>
      <w:r>
        <w:rPr>
          <w:color w:val="403152" w:themeColor="accent4" w:themeShade="80"/>
        </w:rPr>
        <w:t xml:space="preserve"> 18 with any 2010 enrollment at the 5 study sites was 1,928,858.  Based on all available medical and billing records (some as far back as 1996), the lifetime completeness of which varies greatly among individuals, and based on the same case algorithm as used in the study (2+ </w:t>
      </w:r>
      <w:proofErr w:type="spellStart"/>
      <w:r>
        <w:rPr>
          <w:color w:val="403152" w:themeColor="accent4" w:themeShade="80"/>
        </w:rPr>
        <w:t>ASD</w:t>
      </w:r>
      <w:proofErr w:type="spellEnd"/>
      <w:r>
        <w:rPr>
          <w:color w:val="403152" w:themeColor="accent4" w:themeShade="80"/>
        </w:rPr>
        <w:t xml:space="preserve"> diagnoses, or 1+ </w:t>
      </w:r>
      <w:proofErr w:type="spellStart"/>
      <w:r>
        <w:rPr>
          <w:color w:val="403152" w:themeColor="accent4" w:themeShade="80"/>
        </w:rPr>
        <w:t>KPNC</w:t>
      </w:r>
      <w:proofErr w:type="spellEnd"/>
      <w:r>
        <w:rPr>
          <w:color w:val="403152" w:themeColor="accent4" w:themeShade="80"/>
        </w:rPr>
        <w:t xml:space="preserve"> autism clinic diagnosis), a total of 18,951 </w:t>
      </w:r>
      <w:proofErr w:type="spellStart"/>
      <w:r>
        <w:rPr>
          <w:color w:val="403152" w:themeColor="accent4" w:themeShade="80"/>
        </w:rPr>
        <w:t>ASD</w:t>
      </w:r>
      <w:proofErr w:type="spellEnd"/>
      <w:r>
        <w:rPr>
          <w:color w:val="403152" w:themeColor="accent4" w:themeShade="80"/>
        </w:rPr>
        <w:t xml:space="preserve"> cases were identified, for a crude prevalence rate of 9.7 per 1000, which is consistent with other epidemiological research on </w:t>
      </w:r>
      <w:proofErr w:type="spellStart"/>
      <w:r>
        <w:rPr>
          <w:color w:val="403152" w:themeColor="accent4" w:themeShade="80"/>
        </w:rPr>
        <w:t>ASD</w:t>
      </w:r>
      <w:proofErr w:type="spellEnd"/>
      <w:r>
        <w:rPr>
          <w:color w:val="403152" w:themeColor="accent4" w:themeShade="80"/>
        </w:rPr>
        <w:t xml:space="preserve">. Only 12,633 cases qualified for the sensitivity analyses described above because of additional criteria required (e.g., post-1999 </w:t>
      </w:r>
      <w:proofErr w:type="spellStart"/>
      <w:r>
        <w:rPr>
          <w:color w:val="403152" w:themeColor="accent4" w:themeShade="80"/>
        </w:rPr>
        <w:t>ASD</w:t>
      </w:r>
      <w:proofErr w:type="spellEnd"/>
      <w:r>
        <w:rPr>
          <w:color w:val="403152" w:themeColor="accent4" w:themeShade="80"/>
        </w:rPr>
        <w:t xml:space="preserve"> diagnoses; community-dwelling; minimum months enrolled and clinical contacts in 2009-2010).</w:t>
      </w:r>
    </w:p>
    <w:p w:rsidR="00615F49" w:rsidRPr="009D240C" w:rsidRDefault="00615F49" w:rsidP="00615F49">
      <w:pPr>
        <w:rPr>
          <w:color w:val="403152" w:themeColor="accent4" w:themeShade="80"/>
          <w:highlight w:val="yellow"/>
        </w:rPr>
      </w:pPr>
    </w:p>
    <w:p w:rsidR="00E24E52" w:rsidRDefault="00E24E52"/>
    <w:sectPr w:rsidR="00E24E52" w:rsidSect="00973F0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7262"/>
      <w:docPartObj>
        <w:docPartGallery w:val="Page Numbers (Top of Page)"/>
        <w:docPartUnique/>
      </w:docPartObj>
    </w:sdtPr>
    <w:sdtEndPr>
      <w:rPr>
        <w:noProof/>
      </w:rPr>
    </w:sdtEndPr>
    <w:sdtContent>
      <w:p w:rsidR="00735B75" w:rsidRDefault="00615F4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35B75" w:rsidRDefault="00615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F49"/>
    <w:rsid w:val="000D3364"/>
    <w:rsid w:val="005676B1"/>
    <w:rsid w:val="00615F49"/>
    <w:rsid w:val="009C5915"/>
    <w:rsid w:val="00E24E52"/>
    <w:rsid w:val="00E56538"/>
    <w:rsid w:val="00F6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49"/>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F49"/>
    <w:pPr>
      <w:tabs>
        <w:tab w:val="center" w:pos="4153"/>
        <w:tab w:val="right" w:pos="8306"/>
      </w:tabs>
    </w:pPr>
  </w:style>
  <w:style w:type="character" w:customStyle="1" w:styleId="HeaderChar">
    <w:name w:val="Header Char"/>
    <w:basedOn w:val="DefaultParagraphFont"/>
    <w:link w:val="Header"/>
    <w:rsid w:val="00615F49"/>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615F49"/>
    <w:rPr>
      <w:rFonts w:ascii="Tahoma" w:hAnsi="Tahoma" w:cs="Tahoma"/>
      <w:sz w:val="16"/>
      <w:szCs w:val="16"/>
    </w:rPr>
  </w:style>
  <w:style w:type="character" w:customStyle="1" w:styleId="BalloonTextChar">
    <w:name w:val="Balloon Text Char"/>
    <w:basedOn w:val="DefaultParagraphFont"/>
    <w:link w:val="BalloonText"/>
    <w:uiPriority w:val="99"/>
    <w:semiHidden/>
    <w:rsid w:val="00615F49"/>
    <w:rPr>
      <w:rFonts w:ascii="Tahoma" w:eastAsia="Arial Unicode MS" w:hAnsi="Tahoma" w:cs="Tahoma"/>
      <w:sz w:val="16"/>
      <w:szCs w:val="16"/>
    </w:rPr>
  </w:style>
  <w:style w:type="character" w:styleId="LineNumber">
    <w:name w:val="line number"/>
    <w:basedOn w:val="DefaultParagraphFont"/>
    <w:uiPriority w:val="99"/>
    <w:semiHidden/>
    <w:unhideWhenUsed/>
    <w:rsid w:val="00615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6.emf"/><Relationship Id="rId4" Type="http://schemas.openxmlformats.org/officeDocument/2006/relationships/image" Target="media/image1.emf"/><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0012435</dc:creator>
  <cp:lastModifiedBy>0012435</cp:lastModifiedBy>
  <cp:revision>1</cp:revision>
  <dcterms:created xsi:type="dcterms:W3CDTF">2016-10-14T10:11:00Z</dcterms:created>
  <dcterms:modified xsi:type="dcterms:W3CDTF">2016-10-14T10:11:00Z</dcterms:modified>
</cp:coreProperties>
</file>