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A" w:rsidRPr="008E53AB" w:rsidRDefault="00FE4F0A" w:rsidP="00EA2046">
      <w:pPr>
        <w:pStyle w:val="NoSpacing1"/>
        <w:rPr>
          <w:rStyle w:val="SubtleEmphasis"/>
          <w:i w:val="0"/>
          <w:lang w:val="en-GB"/>
        </w:rPr>
      </w:pPr>
      <w:bookmarkStart w:id="0" w:name="_Toc333867739"/>
      <w:r w:rsidRPr="008E53AB">
        <w:rPr>
          <w:i/>
          <w:iCs/>
          <w:lang w:val="en-GB"/>
        </w:rPr>
        <w:t>Appendix II:  Measuring instruments</w:t>
      </w:r>
      <w:bookmarkEnd w:id="0"/>
    </w:p>
    <w:tbl>
      <w:tblPr>
        <w:tblpPr w:leftFromText="180" w:rightFromText="180" w:vertAnchor="text" w:horzAnchor="page" w:tblpX="1340" w:tblpY="643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1278"/>
        <w:gridCol w:w="810"/>
        <w:gridCol w:w="1710"/>
        <w:gridCol w:w="1602"/>
        <w:gridCol w:w="810"/>
        <w:gridCol w:w="4500"/>
        <w:gridCol w:w="1170"/>
        <w:gridCol w:w="1620"/>
      </w:tblGrid>
      <w:tr w:rsidR="00FE4F0A" w:rsidRPr="008E53AB">
        <w:trPr>
          <w:trHeight w:val="887"/>
        </w:trPr>
        <w:tc>
          <w:tcPr>
            <w:tcW w:w="450" w:type="dxa"/>
            <w:shd w:val="clear" w:color="auto" w:fill="D9D9D9"/>
          </w:tcPr>
          <w:p w:rsidR="00FE4F0A" w:rsidRPr="00134F8E" w:rsidRDefault="00FE4F0A" w:rsidP="0034619A">
            <w:pPr>
              <w:pStyle w:val="NoSpacing1"/>
              <w:rPr>
                <w:b/>
                <w:bCs/>
                <w:color w:val="000000"/>
                <w:lang w:val="en-GB"/>
              </w:rPr>
            </w:pPr>
            <w:r w:rsidRPr="00134F8E">
              <w:rPr>
                <w:b/>
                <w:bCs/>
                <w:color w:val="000000"/>
                <w:lang w:val="en-GB"/>
              </w:rPr>
              <w:t>Nr</w:t>
            </w:r>
          </w:p>
        </w:tc>
        <w:tc>
          <w:tcPr>
            <w:tcW w:w="1278" w:type="dxa"/>
            <w:shd w:val="clear" w:color="auto" w:fill="D9D9D9"/>
          </w:tcPr>
          <w:p w:rsidR="00FE4F0A" w:rsidRPr="00134F8E" w:rsidRDefault="00FE4F0A" w:rsidP="0034619A">
            <w:pPr>
              <w:pStyle w:val="NoSpacing1"/>
              <w:rPr>
                <w:b/>
                <w:bCs/>
                <w:color w:val="000000"/>
                <w:lang w:val="en-GB"/>
              </w:rPr>
            </w:pPr>
            <w:r w:rsidRPr="00134F8E">
              <w:rPr>
                <w:b/>
                <w:bCs/>
                <w:color w:val="000000"/>
                <w:lang w:val="en-GB"/>
              </w:rPr>
              <w:t xml:space="preserve">Instrument </w:t>
            </w:r>
          </w:p>
        </w:tc>
        <w:tc>
          <w:tcPr>
            <w:tcW w:w="810" w:type="dxa"/>
            <w:shd w:val="clear" w:color="auto" w:fill="D9D9D9"/>
          </w:tcPr>
          <w:p w:rsidR="00FE4F0A" w:rsidRPr="00134F8E" w:rsidRDefault="00FE4F0A" w:rsidP="0034619A">
            <w:pPr>
              <w:pStyle w:val="NoSpacing1"/>
              <w:rPr>
                <w:b/>
                <w:bCs/>
                <w:color w:val="000000"/>
                <w:lang w:val="en-GB"/>
              </w:rPr>
            </w:pPr>
            <w:r w:rsidRPr="00134F8E">
              <w:rPr>
                <w:b/>
                <w:bCs/>
                <w:color w:val="000000"/>
                <w:lang w:val="en-GB"/>
              </w:rPr>
              <w:t>Social</w:t>
            </w:r>
          </w:p>
        </w:tc>
        <w:tc>
          <w:tcPr>
            <w:tcW w:w="1710" w:type="dxa"/>
            <w:shd w:val="clear" w:color="auto" w:fill="D9D9D9"/>
          </w:tcPr>
          <w:p w:rsidR="00FE4F0A" w:rsidRPr="00134F8E" w:rsidRDefault="00FE4F0A" w:rsidP="0034619A">
            <w:pPr>
              <w:pStyle w:val="NoSpacing1"/>
              <w:rPr>
                <w:b/>
                <w:bCs/>
                <w:color w:val="000000"/>
                <w:lang w:val="en-GB"/>
              </w:rPr>
            </w:pPr>
            <w:r w:rsidRPr="00134F8E">
              <w:rPr>
                <w:b/>
                <w:bCs/>
                <w:color w:val="000000"/>
                <w:lang w:val="en-GB"/>
              </w:rPr>
              <w:t>Communication</w:t>
            </w:r>
          </w:p>
        </w:tc>
        <w:tc>
          <w:tcPr>
            <w:tcW w:w="1602" w:type="dxa"/>
            <w:shd w:val="clear" w:color="auto" w:fill="D9D9D9"/>
          </w:tcPr>
          <w:p w:rsidR="00FE4F0A" w:rsidRPr="00134F8E" w:rsidRDefault="00FE4F0A" w:rsidP="0034619A">
            <w:pPr>
              <w:pStyle w:val="NoSpacing1"/>
              <w:rPr>
                <w:b/>
                <w:bCs/>
                <w:color w:val="000000"/>
                <w:lang w:val="en-GB"/>
              </w:rPr>
            </w:pPr>
            <w:r w:rsidRPr="00134F8E">
              <w:rPr>
                <w:b/>
                <w:bCs/>
                <w:color w:val="000000"/>
                <w:lang w:val="en-GB"/>
              </w:rPr>
              <w:t>Repetitive and stereotyped behaviour</w:t>
            </w:r>
          </w:p>
        </w:tc>
        <w:tc>
          <w:tcPr>
            <w:tcW w:w="810" w:type="dxa"/>
            <w:shd w:val="clear" w:color="auto" w:fill="D9D9D9"/>
          </w:tcPr>
          <w:p w:rsidR="00FE4F0A" w:rsidRPr="00134F8E" w:rsidRDefault="00FE4F0A" w:rsidP="0034619A">
            <w:pPr>
              <w:pStyle w:val="NoSpacing1"/>
              <w:rPr>
                <w:b/>
                <w:bCs/>
                <w:color w:val="000000"/>
                <w:lang w:val="en-GB"/>
              </w:rPr>
            </w:pPr>
            <w:r w:rsidRPr="00134F8E">
              <w:rPr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4500" w:type="dxa"/>
            <w:shd w:val="clear" w:color="auto" w:fill="D9D9D9"/>
          </w:tcPr>
          <w:p w:rsidR="00FE4F0A" w:rsidRPr="00134F8E" w:rsidRDefault="00FE4F0A" w:rsidP="0034619A">
            <w:pPr>
              <w:pStyle w:val="NoSpacing1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Measures</w:t>
            </w:r>
          </w:p>
        </w:tc>
        <w:tc>
          <w:tcPr>
            <w:tcW w:w="1170" w:type="dxa"/>
            <w:shd w:val="clear" w:color="auto" w:fill="D9D9D9"/>
          </w:tcPr>
          <w:p w:rsidR="00FE4F0A" w:rsidRPr="00134F8E" w:rsidRDefault="00FE4F0A" w:rsidP="0034619A">
            <w:pPr>
              <w:pStyle w:val="NoSpacing1"/>
              <w:rPr>
                <w:b/>
                <w:bCs/>
                <w:color w:val="000000"/>
                <w:lang w:val="en-GB"/>
              </w:rPr>
            </w:pPr>
            <w:r w:rsidRPr="00134F8E">
              <w:rPr>
                <w:b/>
                <w:bCs/>
                <w:color w:val="000000"/>
                <w:lang w:val="en-GB"/>
              </w:rPr>
              <w:t>Parent/</w:t>
            </w:r>
            <w:r w:rsidRPr="00134F8E">
              <w:rPr>
                <w:b/>
                <w:bCs/>
                <w:color w:val="000000"/>
                <w:lang w:val="en-GB"/>
              </w:rPr>
              <w:br/>
              <w:t>Patient or observer</w:t>
            </w:r>
          </w:p>
        </w:tc>
        <w:tc>
          <w:tcPr>
            <w:tcW w:w="1620" w:type="dxa"/>
            <w:shd w:val="clear" w:color="auto" w:fill="D9D9D9"/>
          </w:tcPr>
          <w:p w:rsidR="00FE4F0A" w:rsidRPr="00134F8E" w:rsidRDefault="00FE4F0A" w:rsidP="0034619A">
            <w:pPr>
              <w:pStyle w:val="NoSpacing1"/>
              <w:rPr>
                <w:b/>
                <w:bCs/>
                <w:color w:val="000000"/>
                <w:lang w:val="en-GB"/>
              </w:rPr>
            </w:pPr>
            <w:r w:rsidRPr="00134F8E">
              <w:rPr>
                <w:b/>
                <w:bCs/>
                <w:color w:val="000000"/>
                <w:lang w:val="en-GB"/>
              </w:rPr>
              <w:t>Retrospective?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 w:rsidRPr="00134F8E">
              <w:rPr>
                <w:b/>
                <w:bCs/>
                <w:lang w:val="en-GB"/>
              </w:rPr>
              <w:t>1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ADI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3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color w:val="000000"/>
                <w:lang w:val="en-GB"/>
              </w:rPr>
              <w:t>Developmental history and current behaviour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 xml:space="preserve">Partial 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 w:rsidRPr="00134F8E">
              <w:rPr>
                <w:b/>
                <w:bCs/>
                <w:lang w:val="en-GB"/>
              </w:rPr>
              <w:t>2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ADI-R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color w:val="000000"/>
                <w:lang w:val="en-GB"/>
              </w:rPr>
              <w:t>Developmental history and current behaviour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Partial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 w:rsidRPr="00134F8E">
              <w:rPr>
                <w:b/>
                <w:bCs/>
                <w:lang w:val="en-GB"/>
              </w:rPr>
              <w:t>3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ADOS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5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5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4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14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Semi-structured assessment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O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 w:rsidRPr="00134F8E">
              <w:rPr>
                <w:b/>
                <w:bCs/>
                <w:lang w:val="en-GB"/>
              </w:rPr>
              <w:t>4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ADOS-G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2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2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5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Semi-structured assessment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O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CAST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Autistic traits in children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Partial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DASH II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Frequency (last two weeks)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3DI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3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Developmental history current and past symptoms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Partial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ASD-DC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2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4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ASD symptoms, comorbidity, challenging behaviour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Partial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 xml:space="preserve">Biscuit 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2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2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2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6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Autism traits (babies, infants)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RBS-R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Restricted and rep behaviour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ASD CC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Current comorbidity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AQ-C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2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2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4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Autistic traits in children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AQ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4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2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6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Autistic traits in adults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Pt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VABS,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Social and personal sufficiency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Vineland, VSMS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EA2F73">
              <w:rPr>
                <w:lang w:val="en-GB"/>
              </w:rPr>
              <w:t>social maturity or social competence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SRS-total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Social responsiveness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 w:rsidRPr="00134F8E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>7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SCQ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Communication, social skills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  <w:tr w:rsidR="00FE4F0A" w:rsidRPr="008E53AB">
        <w:tc>
          <w:tcPr>
            <w:tcW w:w="450" w:type="dxa"/>
          </w:tcPr>
          <w:p w:rsidR="00FE4F0A" w:rsidRPr="00134F8E" w:rsidRDefault="00FE4F0A" w:rsidP="0034619A">
            <w:pPr>
              <w:pStyle w:val="NoSpacing1"/>
              <w:rPr>
                <w:b/>
                <w:bCs/>
                <w:lang w:val="en-GB"/>
              </w:rPr>
            </w:pPr>
            <w:r w:rsidRPr="00134F8E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>8</w:t>
            </w:r>
          </w:p>
        </w:tc>
        <w:tc>
          <w:tcPr>
            <w:tcW w:w="1278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Develop- ment profile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17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1602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0</w:t>
            </w:r>
          </w:p>
        </w:tc>
        <w:tc>
          <w:tcPr>
            <w:tcW w:w="81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1</w:t>
            </w:r>
          </w:p>
        </w:tc>
        <w:tc>
          <w:tcPr>
            <w:tcW w:w="450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Emotional needs for people, manners in friendship</w:t>
            </w:r>
          </w:p>
        </w:tc>
        <w:tc>
          <w:tcPr>
            <w:tcW w:w="117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P</w:t>
            </w:r>
          </w:p>
        </w:tc>
        <w:tc>
          <w:tcPr>
            <w:tcW w:w="1620" w:type="dxa"/>
          </w:tcPr>
          <w:p w:rsidR="00FE4F0A" w:rsidRPr="00134F8E" w:rsidRDefault="00FE4F0A" w:rsidP="0034619A">
            <w:pPr>
              <w:pStyle w:val="NoSpacing1"/>
              <w:rPr>
                <w:lang w:val="en-GB"/>
              </w:rPr>
            </w:pPr>
            <w:r w:rsidRPr="00134F8E">
              <w:rPr>
                <w:lang w:val="en-GB"/>
              </w:rPr>
              <w:t>No</w:t>
            </w:r>
          </w:p>
        </w:tc>
      </w:tr>
    </w:tbl>
    <w:p w:rsidR="00FE4F0A" w:rsidRPr="008E53AB" w:rsidRDefault="00FE4F0A" w:rsidP="00EA2046">
      <w:pPr>
        <w:pStyle w:val="NoSpacing1"/>
        <w:rPr>
          <w:lang w:val="en-US"/>
        </w:rPr>
      </w:pPr>
    </w:p>
    <w:p w:rsidR="00FE4F0A" w:rsidRDefault="00FE4F0A" w:rsidP="00EA2046"/>
    <w:p w:rsidR="00FE4F0A" w:rsidRDefault="00FE4F0A">
      <w:bookmarkStart w:id="1" w:name="_GoBack"/>
      <w:bookmarkEnd w:id="1"/>
    </w:p>
    <w:sectPr w:rsidR="00FE4F0A" w:rsidSect="00E910CE">
      <w:pgSz w:w="16838" w:h="11906" w:orient="landscape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046"/>
    <w:rsid w:val="00125C98"/>
    <w:rsid w:val="00134F8E"/>
    <w:rsid w:val="0034619A"/>
    <w:rsid w:val="005678AB"/>
    <w:rsid w:val="008E53AB"/>
    <w:rsid w:val="009416DB"/>
    <w:rsid w:val="009B19A9"/>
    <w:rsid w:val="00E910CE"/>
    <w:rsid w:val="00EA2046"/>
    <w:rsid w:val="00EA2F73"/>
    <w:rsid w:val="00FE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46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EA2046"/>
    <w:rPr>
      <w:i/>
      <w:color w:val="808080"/>
    </w:rPr>
  </w:style>
  <w:style w:type="paragraph" w:customStyle="1" w:styleId="NoSpacing1">
    <w:name w:val="No Spacing1"/>
    <w:uiPriority w:val="99"/>
    <w:rsid w:val="00EA2046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189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II:  Measuring instruments</dc:title>
  <dc:subject/>
  <dc:creator>Patricia Cremers</dc:creator>
  <cp:keywords/>
  <dc:description/>
  <cp:lastModifiedBy>van Wijngaarden-Cremers</cp:lastModifiedBy>
  <cp:revision>2</cp:revision>
  <dcterms:created xsi:type="dcterms:W3CDTF">2013-07-18T22:34:00Z</dcterms:created>
  <dcterms:modified xsi:type="dcterms:W3CDTF">2013-07-18T22:34:00Z</dcterms:modified>
</cp:coreProperties>
</file>