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D7C3" w14:textId="77777777" w:rsidR="00DF70A8" w:rsidRPr="00FF7CC5" w:rsidRDefault="00AD0BB6" w:rsidP="00AD0BB6">
      <w:pPr>
        <w:spacing w:after="0" w:line="240" w:lineRule="auto"/>
        <w:jc w:val="center"/>
        <w:rPr>
          <w:rFonts w:ascii="Times New Roman" w:hAnsi="Times New Roman" w:cs="Times New Roman"/>
          <w:b/>
          <w:sz w:val="24"/>
          <w:szCs w:val="24"/>
        </w:rPr>
      </w:pPr>
      <w:r w:rsidRPr="00FF7CC5">
        <w:rPr>
          <w:rFonts w:ascii="Times New Roman" w:hAnsi="Times New Roman" w:cs="Times New Roman"/>
          <w:b/>
          <w:sz w:val="24"/>
          <w:szCs w:val="24"/>
        </w:rPr>
        <w:t xml:space="preserve">Supplemental </w:t>
      </w:r>
      <w:r w:rsidR="004B7EB3" w:rsidRPr="00FF7CC5">
        <w:rPr>
          <w:rFonts w:ascii="Times New Roman" w:hAnsi="Times New Roman" w:cs="Times New Roman"/>
          <w:b/>
          <w:sz w:val="24"/>
          <w:szCs w:val="24"/>
        </w:rPr>
        <w:t>Methods</w:t>
      </w:r>
    </w:p>
    <w:p w14:paraId="19D34B6E" w14:textId="77777777" w:rsidR="00564124" w:rsidRPr="00FF7CC5" w:rsidRDefault="00564124" w:rsidP="00AD0BB6">
      <w:pPr>
        <w:spacing w:after="0" w:line="240" w:lineRule="auto"/>
        <w:jc w:val="center"/>
        <w:rPr>
          <w:rFonts w:ascii="Times New Roman" w:hAnsi="Times New Roman" w:cs="Times New Roman"/>
          <w:b/>
          <w:sz w:val="24"/>
          <w:szCs w:val="24"/>
        </w:rPr>
      </w:pPr>
    </w:p>
    <w:p w14:paraId="5A016A8A" w14:textId="77777777" w:rsidR="004B7EB3" w:rsidRPr="00FF7CC5" w:rsidRDefault="00B6446D" w:rsidP="004B7EB3">
      <w:pPr>
        <w:spacing w:after="0" w:line="240" w:lineRule="auto"/>
        <w:rPr>
          <w:rFonts w:ascii="Times New Roman" w:hAnsi="Times New Roman" w:cs="Times New Roman"/>
          <w:b/>
          <w:sz w:val="24"/>
          <w:szCs w:val="24"/>
        </w:rPr>
      </w:pPr>
      <w:r w:rsidRPr="00FF7CC5">
        <w:rPr>
          <w:rFonts w:ascii="Times New Roman" w:hAnsi="Times New Roman" w:cs="Times New Roman"/>
          <w:b/>
          <w:sz w:val="24"/>
          <w:szCs w:val="24"/>
        </w:rPr>
        <w:t>Questionnaires</w:t>
      </w:r>
    </w:p>
    <w:p w14:paraId="03611717" w14:textId="30FC6BC0" w:rsidR="00706F70" w:rsidRPr="00FF7CC5" w:rsidRDefault="004B7EB3" w:rsidP="004B7EB3">
      <w:pPr>
        <w:spacing w:after="0" w:line="240" w:lineRule="auto"/>
        <w:ind w:firstLine="720"/>
        <w:rPr>
          <w:rFonts w:ascii="Times New Roman" w:hAnsi="Times New Roman" w:cs="Times New Roman"/>
          <w:sz w:val="24"/>
          <w:szCs w:val="24"/>
        </w:rPr>
      </w:pPr>
      <w:r w:rsidRPr="00FF7CC5">
        <w:rPr>
          <w:rFonts w:ascii="Times New Roman" w:hAnsi="Times New Roman" w:cs="Times New Roman"/>
          <w:sz w:val="24"/>
          <w:szCs w:val="24"/>
        </w:rPr>
        <w:t xml:space="preserve">All questionnaires were delivered electronically via the Collaborative Informatics and Neuroimaging Suite (COINS;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{"citationID":"CmYpheB1","properties":{"formattedCitation":"(Landis et al., 2016; Scott et al., 2011)","plainCitation":"(Landis et al., 2016; Scott et al., 2011)","dontUpdate":true,"noteIndex":0},"citationItems":[{"id":"BsSjPg6h/7365sanw","uris":["http://zotero.org/users/5240537/items/WNT6DHXP"],"itemData":{"id":4045,"type":"article-journal","abstract":"Neuroimaging data collection is inherently expensive. Maximizing the return on investment in neuroimaging studies requires that neuroimaging data be re-used whenever possible. In an effort to further scientific knowledge, the COINS Data Exchange (DX) (http://coins.mrn.org/dx) aims to make data sharing seamless and commonplace. DX takes a three-pronged approach towards improving the overall state of data sharing within the neuroscience community. The first prong is compiling data into one location that has been collected from all over the world in many different formats. The second prong is curating the data so that it can be stored in one consistent format and so that data QA/QC measures can be assured. The third prong is disseminating the data so that it is easy to consume and straightforward to interpret. This paper explains the concepts behind each prong and describes some challenges and successes that the Data Exchange has experienced.","collection-title":"Sharing the wealth: Brain Imaging Repositories in 2015","container-title":"NeuroImage","DOI":"10.1016/j.neuroimage.2015.05.049","ISSN":"1053-8119","journalAbbreviation":"NeuroImage","language":"en","page":"1084-1088","source":"ScienceDirect","title":"COINS Data Exchange: An open platform for compiling, curating, and disseminating neuroimaging data","title-short":"COINS Data Exchange","volume":"124","author":[{"family":"Landis","given":"Drew"},{"family":"Courtney","given":"William"},{"family":"Dieringer","given":"Christopher"},{"family":"Kelly","given":"Ross"},{"family":"King","given":"Margaret"},{"family":"Miller","given":"Brittny"},{"family":"Wang","given":"Runtang"},{"family":"Wood","given":"Dylan"},{"family":"Turner","given":"Jessica A."},{"family":"Calhoun","given":"Vince D."}],"issued":{"date-parts":[["2016",1,1]]}}},{"id":"BsSjPg6h/fSdTh9nJ","uris":["http://zotero.org/users/5240537/items/PTEQA86Y"],"itemData":{"id":4044,"type":"article-journal","abstract":"The availability of well-characterized neuroimaging data with large numbers of subjects, especially for clinical populations, is critical to advancing our understanding of the healthy and diseased brain. Such data enables questions to be answered in a much more generalizable manner and also has the potential to yield solutions derived from novel methods that were conceived after the original studies' implementation. Though there is currently growing interest in data sharing, the neuroimaging community has been struggling for years with how to best encourage sharing data across brain imaging studies. With the advent of studies that are much more consistent across sites (e.g., resting fMRI, diffusion tensor imaging, and structural imaging) the potential of pooling data across studies continues to gain momentum. At the Mind Research Network (MRN), we have developed the COllaborative Informatics and Neuroimaging Suite (COINS; http://coins.mrn.org) to provide researchers with an information system based on an open-source model that includes web-based tools to manage studies, subjects, imaging, clinical data and other assessments. The system currently hosts data from 9 institutions, over 300 studies, over 14,000 subjects, and over 19,000 MRI, MEG, and EEG scan sessions in addition to more than 180,000 clinical assessments. In this paper we provide a description of COINS with comparison to a valuable and popular system known as XNAT. Although there are many similarities between COINS and other electronic data management systems, the differences that may concern researchers in the context of multi-site, multi-organizational data-sharing environments with intuitive ease of use and PHI security are emphasized as important attributes.","container-title":"Frontiers in Neuroinformatics","DOI":"10.3389/fninf.2011.00033","ISSN":"1662-5196","journalAbbreviation":"Front. Neuroinform.","language":"English","note":"publisher: Frontiers","source":"Frontiers","title":"COINS: An Innovative Informatics and Neuroimaging Tool Suite Built for Large Heterogeneous Datasets","title-short":"COINS","URL":"https://www.frontiersin.org/articles/10.3389/fninf.2011.00033/full","volume":"5","author":[{"family":"Scott","given":"Adam"},{"family":"Courtney","given":"William"},{"family":"Wood","given":"Dylan"},{"family":"De la Garza","given":"Raul"},{"family":"Lane","given":"Susan"},{"family":"Wang","given":"Runtang"},{"family":"King","given":"Margaret"},{"family":"Roberts","given":"Jody"},{"family":"Turner","given":"Jessica A."},{"family":"Calhoun","given":"Vince D."}],"accessed":{"date-parts":[["2020",10,23]]},"issued":{"date-parts":[["2011"]]}}}],"schema":"https://github.com/citation-style-language/schema/raw/master/csl-citation.json"}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Landis et al., 2016; Scott et al., 2011)</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xml:space="preserve">, and participants could complete the surveys at their leisure within a one-week span. </w:t>
      </w:r>
      <w:r w:rsidR="00706F70" w:rsidRPr="00FF7CC5">
        <w:rPr>
          <w:rFonts w:ascii="Times New Roman" w:hAnsi="Times New Roman" w:cs="Times New Roman"/>
          <w:sz w:val="24"/>
          <w:szCs w:val="24"/>
        </w:rPr>
        <w:t xml:space="preserve">Youth completed a portion of the “Emotional Experience” section of the </w:t>
      </w:r>
      <w:bookmarkStart w:id="0" w:name="_Hlk68249756"/>
      <w:r w:rsidR="00706F70" w:rsidRPr="00FF7CC5">
        <w:rPr>
          <w:rFonts w:ascii="Times New Roman" w:hAnsi="Times New Roman" w:cs="Times New Roman"/>
          <w:sz w:val="24"/>
          <w:szCs w:val="24"/>
        </w:rPr>
        <w:t xml:space="preserve">COVID-19 Adolescent Symptom &amp; Psychological Experience assessment (CASPE; </w:t>
      </w:r>
      <w:r w:rsidR="00706F70"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{"citationID":"jOdTvdb6","properties":{"formattedCitation":"(Ladouceur, 2020)","plainCitation":"(Ladouceur, 2020)","noteIndex":0},"citationItems":[{"id":4618,"uris":["http://zotero.org/users/5240537/items/FZAS4YL3"],"itemData":{"id":4618,"type":"document","abstract":"The CASPE adolescent self-report and parent report are currently being administered as part of an ongoing study of adolescent depression. The sample consists of adolescents between the ages of 12 and 17 varying in levels of depression symptoms. The survey was designed for Qualtrics (online platform).","title":"COVID-19 Adolescent Symptom &amp; Psychological Experience Questionnaire","author":[{"family":"Ladouceur","given":"C. D."}],"issued":{"date-parts":[["2020"]]}}}],"schema":"https://github.com/citation-style-language/schema/raw/master/csl-citation.json"} </w:instrText>
      </w:r>
      <w:r w:rsidR="00706F70"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(Ladouceur, 2020)</w:t>
      </w:r>
      <w:r w:rsidR="00706F70" w:rsidRPr="00FF7CC5">
        <w:rPr>
          <w:rFonts w:ascii="Times New Roman" w:hAnsi="Times New Roman" w:cs="Times New Roman"/>
          <w:sz w:val="24"/>
          <w:szCs w:val="24"/>
        </w:rPr>
        <w:fldChar w:fldCharType="end"/>
      </w:r>
      <w:r w:rsidR="00706F70" w:rsidRPr="00FF7CC5">
        <w:rPr>
          <w:rFonts w:ascii="Times New Roman" w:hAnsi="Times New Roman" w:cs="Times New Roman"/>
          <w:sz w:val="24"/>
          <w:szCs w:val="24"/>
        </w:rPr>
        <w:t>)</w:t>
      </w:r>
      <w:bookmarkEnd w:id="0"/>
      <w:r w:rsidR="00706F70" w:rsidRPr="00FF7CC5">
        <w:rPr>
          <w:rFonts w:ascii="Times New Roman" w:hAnsi="Times New Roman" w:cs="Times New Roman"/>
          <w:sz w:val="24"/>
          <w:szCs w:val="24"/>
        </w:rPr>
        <w:t xml:space="preserve">. In this section, youth were asked to rate the level of concern they felt about 16 pandemic- and lockdown-relevant stressors in the past seven days (e.g., not seeing friends in person, family might get sick). Ratings were completed on a 5-point Likert scale (1 = </w:t>
      </w:r>
      <w:r w:rsidR="00706F70" w:rsidRPr="00FF7CC5">
        <w:rPr>
          <w:rFonts w:ascii="Times New Roman" w:hAnsi="Times New Roman" w:cs="Times New Roman"/>
          <w:i/>
          <w:sz w:val="24"/>
          <w:szCs w:val="24"/>
        </w:rPr>
        <w:t>very little or not at all</w:t>
      </w:r>
      <w:r w:rsidR="00706F70" w:rsidRPr="00FF7CC5">
        <w:rPr>
          <w:rFonts w:ascii="Times New Roman" w:hAnsi="Times New Roman" w:cs="Times New Roman"/>
          <w:sz w:val="24"/>
          <w:szCs w:val="24"/>
        </w:rPr>
        <w:t xml:space="preserve">, 5 = </w:t>
      </w:r>
      <w:r w:rsidR="00706F70" w:rsidRPr="00FF7CC5">
        <w:rPr>
          <w:rFonts w:ascii="Times New Roman" w:hAnsi="Times New Roman" w:cs="Times New Roman"/>
          <w:i/>
          <w:sz w:val="24"/>
          <w:szCs w:val="24"/>
        </w:rPr>
        <w:t>a great deal</w:t>
      </w:r>
      <w:r w:rsidR="00706F70" w:rsidRPr="00FF7CC5">
        <w:rPr>
          <w:rFonts w:ascii="Times New Roman" w:hAnsi="Times New Roman" w:cs="Times New Roman"/>
          <w:sz w:val="24"/>
          <w:szCs w:val="24"/>
        </w:rPr>
        <w:t>). Youth were also given an open-ended response box to record any stressors that had been affecting them in the past seven days that were not already included in the list.</w:t>
      </w:r>
    </w:p>
    <w:p w14:paraId="3EBF707F" w14:textId="5A7C48D7" w:rsidR="004B7EB3" w:rsidRPr="00FF7CC5" w:rsidRDefault="004B7EB3" w:rsidP="004B7EB3">
      <w:pPr>
        <w:spacing w:after="0" w:line="240" w:lineRule="auto"/>
        <w:ind w:firstLine="720"/>
        <w:rPr>
          <w:rFonts w:ascii="Times New Roman" w:hAnsi="Times New Roman" w:cs="Times New Roman"/>
          <w:sz w:val="24"/>
          <w:szCs w:val="24"/>
        </w:rPr>
      </w:pPr>
      <w:r w:rsidRPr="00FF7CC5">
        <w:rPr>
          <w:rFonts w:ascii="Times New Roman" w:hAnsi="Times New Roman" w:cs="Times New Roman"/>
          <w:sz w:val="24"/>
          <w:szCs w:val="24"/>
        </w:rPr>
        <w:t xml:space="preserve">Youth </w:t>
      </w:r>
      <w:r w:rsidR="00706F70" w:rsidRPr="00FF7CC5">
        <w:rPr>
          <w:rFonts w:ascii="Times New Roman" w:hAnsi="Times New Roman" w:cs="Times New Roman"/>
          <w:sz w:val="24"/>
          <w:szCs w:val="24"/>
        </w:rPr>
        <w:t xml:space="preserve">also </w:t>
      </w:r>
      <w:r w:rsidRPr="00FF7CC5">
        <w:rPr>
          <w:rFonts w:ascii="Times New Roman" w:hAnsi="Times New Roman" w:cs="Times New Roman"/>
          <w:sz w:val="24"/>
          <w:szCs w:val="24"/>
        </w:rPr>
        <w:t xml:space="preserve">completed an adapted version of the Positive Affect Negative Affect Schedule – Child Form </w:t>
      </w:r>
      <w:r w:rsidRPr="00FF7CC5">
        <w:rPr>
          <w:rFonts w:ascii="Times New Roman" w:hAnsi="Times New Roman" w:cs="Times New Roman"/>
          <w:sz w:val="24"/>
        </w:rPr>
        <w:t xml:space="preserve">(PANAS-C; </w:t>
      </w:r>
      <w:r w:rsidRPr="00FF7CC5">
        <w:rPr>
          <w:rFonts w:ascii="Times New Roman" w:hAnsi="Times New Roman" w:cs="Times New Roman"/>
          <w:sz w:val="24"/>
        </w:rPr>
        <w:fldChar w:fldCharType="begin"/>
      </w:r>
      <w:r w:rsidR="00D26C23">
        <w:rPr>
          <w:rFonts w:ascii="Times New Roman" w:hAnsi="Times New Roman" w:cs="Times New Roman"/>
          <w:sz w:val="24"/>
        </w:rPr>
        <w:instrText xml:space="preserve"> ADDIN ZOTERO_ITEM CSL_CITATION {"citationID":"OczZfFmM","properties":{"formattedCitation":"(Hughes &amp; Kendall, 2009; Laurent et al., 1999)","plainCitation":"(Hughes &amp; Kendall, 2009; Laurent et al., 1999)","dontUpdate":true,"noteIndex":0},"citationItems":[{"id":4129,"uris":["http://zotero.org/users/5240537/items/JS5I25Z8"],"itemData":{"id":4129,"type":"article-journal","abstract":"This study investigated the psychometric properties of the Positive and Negative Affect Scale for Children (PANAS-C) (Laurent et al. Psychol Asses 1: 326–338, 1999) in a sample of 139 children (ages 7–14 years) diagnosed with a principal anxiety disorder. Results from this study provided support for the convergent validity of the PANAS-C with established measures of childhood anxiety and depression. As predicted, negative affect was signiﬁcantly associated with measures of anxiety and depression whereas positive affect was associated with depression. However, weaknesses in discriminant validity were found, most notably with regard to social anxiety. Consistent with previous research, social anxiety was signiﬁcantly associated with low levels of positive affect (PA). Furthermore, results from regression analyses indicated that PA made a signiﬁcant unique contribution to the prediction of social anxiety as well as depression scores. Findings are discussed with regard to the usefulness of the PANAS-C to differentiate anxiety and depression in children with anxiety disorders.","container-title":"Child Psychiatry and Human Development","DOI":"10.1007/s10578-009-0130-4","ISSN":"0009-398X, 1573-3327","issue":"3","journalAbbreviation":"Child Psychiatry Hum Dev","language":"en","page":"343-352","source":"DOI.org (Crossref)","title":"Psychometric Properties of the Positive and Negative Affect Scale for Children (PANAS-C) in Children with Anxiety Disorders","URL":"http://link.springer.com/10.1007/s10578-009-0130-4","volume":"40","author":[{"family":"Hughes","given":"Alicia A."},{"family":"Kendall","given":"Philip C."}],"accessed":{"date-parts":[["2020",10,30]]},"issued":{"date-parts":[["2009",9]]}}},{"id":4132,"uris":["http://zotero.org/users/5240537/items/RCIUZRCM"],"itemData":{"id":4132,"type":"article-journal","abstract":"A child version of the Positive and Negative Affect Schedule (PANAS; D. Watson et al, see record [rid]1988-31508-001[/rid]), the PANAS-C, was developed using students in Grades 4–8 (N = 707). Item selection was based on psychometric and theoretical grounds. The resulting Negative Affect (NA) and Positive Affect (PA) scales demonstrated good convergent and discriminant validity with existing self-report measures of childhood anxiety and depression; the PANAS-C performed much like its adult namesake. Overall, the PANAS-C, like the adult PANAS, is a brief, useful measure that can be used to differentiate anxiety from depression in youngsters. As such, this instrument addresses the shortcomings of existing measures of childhood anxiety and depression. (PsycINFO Database Record (c) 2016 APA, all rights reserved)","archive_location":"1999-11130-009","container-title":"Psychological Assessment","DOI":"10.1037/1040-3590.11.3.326","ISSN":"1040-3590","issue":"3","journalAbbreviation":"Psychological Assessment","note":"publisher: American Psychological Association","page":"326-338","source":"EBSCOhost","title":"A measure of positive and negative affect for children: Scale development and preliminary validation","title-short":"A measure of positive and negative affect for children","URL":"https://ezproxy2.library.colostate.edu/login?url=https://search.ebscohost.com/login.aspx?direct=true&amp;AuthType=cookie,ip,url,cpid&amp;custid=s4640792&amp;db=pdh&amp;AN=1999-11130-009&amp;site=ehost-live","volume":"11","author":[{"family":"Laurent","given":"Jeff"},{"family":"Catanzaro","given":"Salvatore J."},{"family":"Joiner","given":"Thomas E. Jr."},{"family":"Rudolph","given":"Karen D."},{"family":"Potter","given":"Kirsten I."},{"family":"Lambert","given":"Sharon"},{"family":"Osborne","given":"Lori"},{"family":"Gathright","given":"Tamara"}],"accessed":{"date-parts":[["2020",10,30]]},"issued":{"date-parts":[["1999",9]]}}}],"schema":"https://github.com/citation-style-language/schema/raw/master/csl-citation.json"} </w:instrText>
      </w:r>
      <w:r w:rsidRPr="00FF7CC5">
        <w:rPr>
          <w:rFonts w:ascii="Times New Roman" w:hAnsi="Times New Roman" w:cs="Times New Roman"/>
          <w:sz w:val="24"/>
        </w:rPr>
        <w:fldChar w:fldCharType="separate"/>
      </w:r>
      <w:r w:rsidR="00014071" w:rsidRPr="00FF7CC5">
        <w:rPr>
          <w:rFonts w:ascii="Times New Roman" w:hAnsi="Times New Roman" w:cs="Times New Roman"/>
          <w:sz w:val="24"/>
        </w:rPr>
        <w:t>Hughes &amp; Kendall, 2009; Laurent et al., 1999)</w:t>
      </w:r>
      <w:r w:rsidRPr="00FF7CC5">
        <w:rPr>
          <w:rFonts w:ascii="Times New Roman" w:hAnsi="Times New Roman" w:cs="Times New Roman"/>
          <w:sz w:val="24"/>
        </w:rPr>
        <w:fldChar w:fldCharType="end"/>
      </w:r>
      <w:r w:rsidRPr="00FF7CC5">
        <w:rPr>
          <w:rFonts w:ascii="Times New Roman" w:hAnsi="Times New Roman" w:cs="Times New Roman"/>
          <w:sz w:val="24"/>
        </w:rPr>
        <w:t xml:space="preserve">. The traditional PANAS-C is comprised of 30 items related to positive (e.g., proud, calm) and negative affect (e.g., nervous, ashamed). Youth were instructed to indicate to what degree each affective descriptor captured their feelings in the past few weeks on a 5-point Likert scale (1 = </w:t>
      </w:r>
      <w:r w:rsidRPr="00FF7CC5">
        <w:rPr>
          <w:rFonts w:ascii="Times New Roman" w:hAnsi="Times New Roman" w:cs="Times New Roman"/>
          <w:i/>
          <w:sz w:val="24"/>
        </w:rPr>
        <w:t>very slightly or not at all</w:t>
      </w:r>
      <w:r w:rsidRPr="00FF7CC5">
        <w:rPr>
          <w:rFonts w:ascii="Times New Roman" w:hAnsi="Times New Roman" w:cs="Times New Roman"/>
          <w:sz w:val="24"/>
        </w:rPr>
        <w:t xml:space="preserve">, 5 = </w:t>
      </w:r>
      <w:r w:rsidRPr="00FF7CC5">
        <w:rPr>
          <w:rFonts w:ascii="Times New Roman" w:hAnsi="Times New Roman" w:cs="Times New Roman"/>
          <w:i/>
          <w:sz w:val="24"/>
        </w:rPr>
        <w:t>extremely</w:t>
      </w:r>
      <w:r w:rsidRPr="00FF7CC5">
        <w:rPr>
          <w:rFonts w:ascii="Times New Roman" w:hAnsi="Times New Roman" w:cs="Times New Roman"/>
          <w:sz w:val="24"/>
        </w:rPr>
        <w:t>). For the present study, we adapted the questionnaire to probe perceptions of affect prior to- versus since local lockdowns. The instructions for the survey read as follows:</w:t>
      </w:r>
    </w:p>
    <w:p w14:paraId="514B993E" w14:textId="77777777" w:rsidR="004B7EB3" w:rsidRPr="00FF7CC5" w:rsidRDefault="004B7EB3" w:rsidP="004B7EB3">
      <w:pPr>
        <w:spacing w:after="0" w:line="240" w:lineRule="auto"/>
        <w:rPr>
          <w:rFonts w:ascii="Times New Roman" w:hAnsi="Times New Roman" w:cs="Times New Roman"/>
          <w:sz w:val="24"/>
        </w:rPr>
      </w:pPr>
    </w:p>
    <w:p w14:paraId="5C42C8F2" w14:textId="77777777" w:rsidR="004B7EB3" w:rsidRPr="00FF7CC5" w:rsidRDefault="004B7EB3" w:rsidP="004B7EB3">
      <w:pPr>
        <w:spacing w:after="0" w:line="240" w:lineRule="auto"/>
        <w:ind w:left="720" w:right="720"/>
        <w:jc w:val="center"/>
        <w:rPr>
          <w:rFonts w:ascii="Times New Roman" w:hAnsi="Times New Roman" w:cs="Times New Roman"/>
          <w:i/>
          <w:sz w:val="24"/>
          <w:szCs w:val="24"/>
        </w:rPr>
      </w:pPr>
      <w:r w:rsidRPr="00FF7CC5">
        <w:rPr>
          <w:rFonts w:ascii="Times New Roman" w:hAnsi="Times New Roman" w:cs="Times New Roman"/>
          <w:i/>
          <w:sz w:val="24"/>
          <w:szCs w:val="24"/>
        </w:rPr>
        <w:t>“This scale consists of a number of words and phrases that describe different feelings and emotions. Read each item and select the appropriate answer for that word. Indicate how much you felt that way 1) in the 6 months prior to when people started staying home (about March 15, 2020), and 2) since people started staying home (since about March 15, 2020).”</w:t>
      </w:r>
    </w:p>
    <w:p w14:paraId="0923DB90" w14:textId="77777777" w:rsidR="004B7EB3" w:rsidRPr="00FF7CC5" w:rsidRDefault="004B7EB3" w:rsidP="004B7EB3">
      <w:pPr>
        <w:spacing w:after="0" w:line="240" w:lineRule="auto"/>
        <w:ind w:left="720" w:right="720"/>
        <w:jc w:val="center"/>
        <w:rPr>
          <w:rFonts w:ascii="Times New Roman" w:hAnsi="Times New Roman" w:cs="Times New Roman"/>
          <w:i/>
          <w:sz w:val="24"/>
          <w:szCs w:val="24"/>
        </w:rPr>
      </w:pPr>
    </w:p>
    <w:p w14:paraId="3FAAC927" w14:textId="305A39ED" w:rsidR="004B7EB3" w:rsidRPr="00FF7CC5" w:rsidRDefault="004B7EB3" w:rsidP="004B7EB3">
      <w:pPr>
        <w:spacing w:after="0" w:line="240" w:lineRule="auto"/>
        <w:rPr>
          <w:rFonts w:ascii="Times New Roman" w:hAnsi="Times New Roman" w:cs="Times New Roman"/>
          <w:sz w:val="24"/>
          <w:szCs w:val="24"/>
        </w:rPr>
      </w:pPr>
      <w:r w:rsidRPr="00FF7CC5">
        <w:rPr>
          <w:rFonts w:ascii="Times New Roman" w:hAnsi="Times New Roman" w:cs="Times New Roman"/>
          <w:sz w:val="24"/>
          <w:szCs w:val="24"/>
        </w:rPr>
        <w:t xml:space="preserve">Thus, the modified measure allowed us to assess participants’ retrospective perceptions of their affect pre- and post-lockdowns. We computed sum scores for positive and negative affect for each timeframe to assess potential changes in affective experiences surrounding the pandemic. Five youth did not complete the PANAS-C and were excluded from further analyses. Of note, the PANAS has excellent validity and has been linked to post-traumatic stress and trauma in the literature. The negative affect scale is commonly and robustly associated with symptoms such as externalizing behaviors, avoidance, emotional numbing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{"citationID":"Gu0BbBWz","properties":{"formattedCitation":"(Monson et al., 2004; Raudales et al., 2019; Seligowski &amp; Orcutt, 2016)","plainCitation":"(Monson et al., 2004; Raudales et al., 2019; Seligowski &amp; Orcutt, 2016)","noteIndex":0},"citationItems":[{"id":4663,"uris":["http://zotero.org/users/5240537/items/KPNQWJPN"],"itemData":{"id":4663,"type":"article-journal","container-title":"Journal of Traumatic Stress","DOI":"10.1023/B:JOTS.0000029271.58494.05","ISSN":"0894-9867, 1573-6598","issue":"3","journalAbbreviation":"J. Traum. Stress","language":"en","page":"275-279","source":"DOI.org (Crossref)","title":"Emotional deficits in military-related PTSD: An investigation of content and process disturbances","title-short":"Emotional deficits in military-related PTSD","URL":"http://doi.wiley.com/10.1023/B%3AJOTS.0000029271.58494.05","volume":"17","author":[{"family":"Monson","given":"Candice M."},{"family":"Price","given":"Jennifer L."},{"family":"Rodriguez","given":"Benjamin F."},{"family":"Ripley","given":"Moira P."},{"family":"Warner","given":"Reid A."}],"accessed":{"date-parts":[["2021",3,16]]},"issued":{"date-parts":[["2004",6]]}}},{"id":4665,"uris":["http://zotero.org/users/5240537/items/6SRPXWFS"],"itemData":{"id":4665,"type":"article-journal","abstract":"Background\nResearch has explored the influence of trauma type on emotion dysregulation and the role of emotion dysregulation in posttraumatic stress disorder (PTSD). However, it remains unclear whether trauma types differentially impact emotion dysregulation, and whether this in turn contributes to elevated PTSD. The current study tested whether trauma type is related to PTSD symptoms via emotion dysregulation.\nMethods\nTrauma-exposed community members (n = 209) completed a semi-structured clinical interview and self-reported on emotion regulation, trauma exposure, PTSD symptoms, and negative affect.\nResults\nInterpersonal trauma, sexual assault in particular, is associated with greater emotion dysregulation. Furthermore, emotion dysregulation mediates the effects of trauma type on PTSD symptoms for sexual assault but not other trauma types, and effects remained significant after covarying for negative affectivity. More recent and chronic trauma was not associated with greater emotion dysregulation.\nConclusions\nThis study underscores the importance of emotion dysregulation in PTSD development and maintenance. Findings may be used for the development of interventions targeting emotion regulation as a malleable risk factor for PTSD, especially for sexual assault victims.","container-title":"Personality and Individual Differences","DOI":"10.1016/j.paid.2018.10.033","ISSN":"0191-8869","journalAbbreviation":"Personality and Individual Differences","language":"en","page":"28-33","source":"ScienceDirect","title":"Emotion dysregulation mediates the relationship between trauma type and PTSD symptoms in a diverse trauma-exposed clinical sample","URL":"https://www.sciencedirect.com/science/article/pii/S0191886918305737","volume":"139","author":[{"family":"Raudales","given":"Alexa M."},{"family":"Short","given":"Nicole A."},{"family":"Schmidt","given":"Norman B."}],"accessed":{"date-parts":[["2021",3,16]]},"issued":{"date-parts":[["2019",3,1]]}}},{"id":4661,"uris":["http://zotero.org/users/5240537/items/HC9S3GRR"],"itemData":{"id":4661,"type":"article-journal","abstract":"Objective: Research suggests that 4-factor models of posttraumatic stress disorder (PTSD) may be improved upon by the addition of novel factors, such as Dysphoric Arousal, Externalizing Behaviors, and Anhedonia. However, a novel 7-factor hybrid model has demonstrated superior fit in veteran and undergraduate samples. The current study sought to replicate this finding in a trauma-exposed community sample and examined relations with positive (PA) and negative affect (NA). Method: Participants included 403 adults (Mage ϭ 37.75) recruited through Amazon’s MTurk. PTSD was measured using the PTSD Checklist-5 (PCL-5). Confirmatory factor analyses were conducted in Mplus. Results: The 7-factor hybrid model demonstrated good fit: CFI ϭ .96, TLI ϭ .95, RMSEA ϭ .06 (90% CI [.05, .07]), SRMR ϭ .03. This model was superior to the 5- and 6-factor models. All factors demonstrated significant relations with PA and NA, the largest of which were the Externalizing Behaviors (with NA) and Anhedonia (with PA) factors. Conclusion: Results provide support for the 7-factor hybrid model of PTSD using the PCL-5 in a community sample. Findings replicate previous research suggesting that PTSD is highly related to NA, which has been purported as an underlying dimension of PTSD. It is recommended that future research use clinical measures to further examine the hybrid model.","container-title":"Psychological Trauma: Theory, Research, Practice, and Policy","DOI":"10.1037/tra0000104","ISSN":"1942-969X, 1942-9681","issue":"2","journalAbbreviation":"Psychological Trauma: Theory, Research, Practice, and Policy","language":"en","page":"218-221","source":"DOI.org (Crossref)","title":"Support for the 7-factor hybrid model of PTSD in a community sample.","URL":"http://doi.apa.org/getdoi.cfm?doi=10.1037/tra0000104","volume":"8","author":[{"family":"Seligowski","given":"Antonia V."},{"family":"Orcutt","given":"Holly K."}],"accessed":{"date-parts":[["2021",3,16]]},"issued":{"date-parts":[["2016"]]}}}],"schema":"https://github.com/citation-style-language/schema/raw/master/csl-citation.json"}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(Monson et al., 2004; Raudales et al., 2019; Seligowski &amp; Orcutt, 2016)</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xml:space="preserve">. Conversely, the positive affect scale is frequently inversely associated with aspects of negative mood like anhedonia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{"citationID":"hIflcDKT","properties":{"formattedCitation":"(Seligowski &amp; Orcutt, 2016)","plainCitation":"(Seligowski &amp; Orcutt, 2016)","noteIndex":0},"citationItems":[{"id":4661,"uris":["http://zotero.org/users/5240537/items/HC9S3GRR"],"itemData":{"id":4661,"type":"article-journal","abstract":"Objective: Research suggests that 4-factor models of posttraumatic stress disorder (PTSD) may be improved upon by the addition of novel factors, such as Dysphoric Arousal, Externalizing Behaviors, and Anhedonia. However, a novel 7-factor hybrid model has demonstrated superior fit in veteran and undergraduate samples. The current study sought to replicate this finding in a trauma-exposed community sample and examined relations with positive (PA) and negative affect (NA). Method: Participants included 403 adults (Mage ϭ 37.75) recruited through Amazon’s MTurk. PTSD was measured using the PTSD Checklist-5 (PCL-5). Confirmatory factor analyses were conducted in Mplus. Results: The 7-factor hybrid model demonstrated good fit: CFI ϭ .96, TLI ϭ .95, RMSEA ϭ .06 (90% CI [.05, .07]), SRMR ϭ .03. This model was superior to the 5- and 6-factor models. All factors demonstrated significant relations with PA and NA, the largest of which were the Externalizing Behaviors (with NA) and Anhedonia (with PA) factors. Conclusion: Results provide support for the 7-factor hybrid model of PTSD using the PCL-5 in a community sample. Findings replicate previous research suggesting that PTSD is highly related to NA, which has been purported as an underlying dimension of PTSD. It is recommended that future research use clinical measures to further examine the hybrid model.","container-title":"Psychological Trauma: Theory, Research, Practice, and Policy","DOI":"10.1037/tra0000104","ISSN":"1942-969X, 1942-9681","issue":"2","journalAbbreviation":"Psychological Trauma: Theory, Research, Practice, and Policy","language":"en","page":"218-221","source":"DOI.org (Crossref)","title":"Support for the 7-factor hybrid model of PTSD in a community sample.","URL":"http://doi.apa.org/getdoi.cfm?doi=10.1037/tra0000104","volume":"8","author":[{"family":"Seligowski","given":"Antonia V."},{"family":"Orcutt","given":"Holly K."}],"accessed":{"date-parts":[["2021",3,16]]},"issued":{"date-parts":[["2016"]]}}}],"schema":"https://github.com/citation-style-language/schema/raw/master/csl-citation.json"}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w:t>
      </w:r>
      <w:proofErr w:type="spellStart"/>
      <w:r w:rsidR="00014071" w:rsidRPr="00FF7CC5">
        <w:rPr>
          <w:rFonts w:ascii="Times New Roman" w:hAnsi="Times New Roman" w:cs="Times New Roman"/>
          <w:sz w:val="24"/>
        </w:rPr>
        <w:t>Seligowski</w:t>
      </w:r>
      <w:proofErr w:type="spellEnd"/>
      <w:r w:rsidR="00014071" w:rsidRPr="00FF7CC5">
        <w:rPr>
          <w:rFonts w:ascii="Times New Roman" w:hAnsi="Times New Roman" w:cs="Times New Roman"/>
          <w:sz w:val="24"/>
        </w:rPr>
        <w:t xml:space="preserve"> &amp; Orcutt, 2016)</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xml:space="preserve">, and positively associated with resilience factors like positive emotionality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{"citationID":"Xt214RvA","properties":{"formattedCitation":"(Contractor et al., 2019; Frewen et al., 2012)","plainCitation":"(Contractor et al., 2019; Frewen et al., 2012)","noteIndex":0},"citationItems":[{"id":4675,"uris":["http://zotero.org/users/5240537/items/3ABNFMGG"],"itemData":{"id":4675,"type":"article-journal","abstract":"Positive memory encoding and retrieval deﬁcits have an empirical relation with several posttrauma outcomes. Drawing from the Contractor et al. model, we examined relations between positive memory characteristics and post-trauma mental health indicators. A trauma-exposed community sample of 203 participants (Mage = 35.40 years; 61.10% female) was recruited via Amazon’s Mechanical Turk. Participants completed measures of posttraumatic stress disorder (PTSD; PTSD Checklist for DSM-5), depression (Patient Health Questionnaire-9), posttraumatic cognitions (Posttraumatic Cognitions Inventory), aﬀect (Positive and Negative Aﬀect Schedule), count/number of recalled speciﬁc positive memories (Autobiographical Memory Test) and accessibility of a speciﬁc positive memory (i.e., subjective ease of recalling details of a memory; Memory Experiences Questionnaire-Short Form). Linear regression results indicated that PTSD intrusion severity, PTSD negative alterations in cognitions and mood (NACM) severity, PTSD alterations in arousal and reactivity (AAR) severity, self-blame, and positive aﬀect signiﬁcantly and negatively predicted the count of speciﬁc positive memories. Further, PTSD NACM severity, PTSD AAR severity, negative cognitions about the self, and negative aﬀect signiﬁcantly and negatively predicted accessibility of a speciﬁc positive memory. Thus, count/accessibility of speciﬁc positive memories was associated with several post-trauma mental health indicators; this highlights the relevance and potential impact of integrating positive memories into trauma treatment.","container-title":"Memory","DOI":"10.1080/09658211.2019.1628994","ISSN":"0965-8211, 1464-0686","issue":"8","journalAbbreviation":"Memory","language":"en","page":"1130-1143","source":"DOI.org (Crossref)","title":"Relation of positive memory recall count and accessibility with post-trauma mental health","URL":"https://www.tandfonline.com/doi/full/10.1080/09658211.2019.1628994","volume":"27","author":[{"family":"Contractor","given":"Ateka A."},{"family":"Banducci","given":"Anne N."},{"family":"Dolan","given":"Megan"},{"family":"Keegan","given":"Fallon"},{"family":"Weiss","given":"Nicole H."}],"accessed":{"date-parts":[["2021",3,16]]},"issued":{"date-parts":[["2019",9,14]]}}},{"id":4677,"uris":["http://zotero.org/users/5240537/items/8CSYAQAB"],"itemData":{"id":4677,"type":"article-journal","container-title":"European Journal of Psychotraumatology","DOI":"10.3402/ejpt.v3i0.8585","ISSN":"2000-8198, 2000-8066","issue":"1","journalAbbreviation":"European Journal of Psychotraumatology","language":"en","page":"8585","source":"DOI.org (Crossref)","title":"Assessment of anhedonia in psychological trauma: development of the Hedonic Deficit and Interference Scale","title-short":"Assessment of anhedonia in psychological trauma","URL":"https://www.tandfonline.com/doi/full/10.3402/ejpt.v3i0.8585","volume":"3","author":[{"family":"Frewen","given":"Paul A."},{"family":"Dean","given":"Jasmine A."},{"family":"Lanius","given":"Ruth A."}],"accessed":{"date-parts":[["2021",3,16]]},"issued":{"date-parts":[["2012",12]]}}}],"schema":"https://github.com/citation-style-language/schema/raw/master/csl-citation.json"}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(Contractor et al., 2019; Frewen et al., 2012)</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xml:space="preserve">.  </w:t>
      </w:r>
    </w:p>
    <w:p w14:paraId="2D7774C6" w14:textId="476B4839" w:rsidR="00C50931" w:rsidRPr="00FF7CC5" w:rsidRDefault="00C50931" w:rsidP="004B7EB3">
      <w:pPr>
        <w:spacing w:after="0" w:line="240" w:lineRule="auto"/>
        <w:rPr>
          <w:rFonts w:ascii="Times New Roman" w:hAnsi="Times New Roman" w:cs="Times New Roman"/>
          <w:sz w:val="24"/>
          <w:szCs w:val="24"/>
        </w:rPr>
      </w:pPr>
      <w:r w:rsidRPr="00FF7CC5">
        <w:rPr>
          <w:rFonts w:ascii="Times New Roman" w:hAnsi="Times New Roman" w:cs="Times New Roman"/>
          <w:sz w:val="24"/>
          <w:szCs w:val="24"/>
        </w:rPr>
        <w:tab/>
        <w:t xml:space="preserve">Finally, parents completed the Barratt Simplified Measure of Social Status (BMSS;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{"citationID":"Vvlxpm5c","properties":{"formattedCitation":"(Barratt, 2006)","plainCitation":"(Barratt, 2006)","noteIndex":0},"citationItems":[{"id":2608,"uris":["http://zotero.org/users/5240537/items/865GS2LN"],"itemData":{"id":2608,"type":"article-journal","container-title":"Unpublished manuscript, Indiana State University","source":"Google Scholar","title":"The Barratt simplified measure of social status (BSMSS): Measuring SES","title-short":"The Barratt simplified measure of social status (BSMSS)","author":[{"family":"Barratt","given":"Will"}],"issued":{"date-parts":[["2006"]]}}}],"schema":"https://github.com/citation-style-language/schema/raw/master/csl-citation.json"} </w:instrText>
      </w:r>
      <w:r w:rsidRPr="00FF7CC5">
        <w:rPr>
          <w:rFonts w:ascii="Times New Roman" w:hAnsi="Times New Roman" w:cs="Times New Roman"/>
          <w:sz w:val="24"/>
          <w:szCs w:val="24"/>
        </w:rPr>
        <w:fldChar w:fldCharType="separate"/>
      </w:r>
      <w:r w:rsidRPr="00FF7CC5">
        <w:rPr>
          <w:rFonts w:ascii="Times New Roman" w:hAnsi="Times New Roman" w:cs="Times New Roman"/>
          <w:sz w:val="24"/>
        </w:rPr>
        <w:t>(Barratt, 2006)</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xml:space="preserve"> in order to approximate household socioeconomic status. Total scores can range from 17 to 66, with higher scores indicated higher socioeconomic status.  </w:t>
      </w:r>
    </w:p>
    <w:p w14:paraId="15F3AC98" w14:textId="77777777" w:rsidR="00B6446D" w:rsidRPr="00FF7CC5" w:rsidRDefault="00B6446D" w:rsidP="00564124">
      <w:pPr>
        <w:spacing w:after="0" w:line="240" w:lineRule="auto"/>
        <w:rPr>
          <w:rFonts w:ascii="Times New Roman" w:hAnsi="Times New Roman" w:cs="Times New Roman"/>
          <w:sz w:val="24"/>
          <w:szCs w:val="24"/>
        </w:rPr>
      </w:pPr>
    </w:p>
    <w:p w14:paraId="40310B60" w14:textId="77777777" w:rsidR="00B6446D" w:rsidRPr="00FF7CC5" w:rsidRDefault="00B6446D" w:rsidP="00564124">
      <w:pPr>
        <w:spacing w:after="0" w:line="240" w:lineRule="auto"/>
        <w:rPr>
          <w:rFonts w:ascii="Times New Roman" w:hAnsi="Times New Roman" w:cs="Times New Roman"/>
          <w:b/>
          <w:sz w:val="24"/>
          <w:szCs w:val="24"/>
        </w:rPr>
      </w:pPr>
      <w:r w:rsidRPr="00FF7CC5">
        <w:rPr>
          <w:rFonts w:ascii="Times New Roman" w:hAnsi="Times New Roman" w:cs="Times New Roman"/>
          <w:b/>
          <w:sz w:val="24"/>
          <w:szCs w:val="24"/>
        </w:rPr>
        <w:tab/>
      </w:r>
    </w:p>
    <w:p w14:paraId="348E38A5" w14:textId="77777777" w:rsidR="004B7EB3" w:rsidRPr="00FF7CC5" w:rsidRDefault="00B6446D" w:rsidP="004B7EB3">
      <w:pPr>
        <w:spacing w:after="0" w:line="240" w:lineRule="auto"/>
        <w:rPr>
          <w:rFonts w:ascii="Times New Roman" w:hAnsi="Times New Roman" w:cs="Times New Roman"/>
          <w:b/>
          <w:sz w:val="24"/>
          <w:szCs w:val="24"/>
        </w:rPr>
      </w:pPr>
      <w:r w:rsidRPr="00FF7CC5">
        <w:rPr>
          <w:rFonts w:ascii="Times New Roman" w:hAnsi="Times New Roman" w:cs="Times New Roman"/>
          <w:b/>
          <w:sz w:val="24"/>
          <w:szCs w:val="24"/>
        </w:rPr>
        <w:t xml:space="preserve">Hair </w:t>
      </w:r>
      <w:r w:rsidR="004B7EB3" w:rsidRPr="00FF7CC5">
        <w:rPr>
          <w:rFonts w:ascii="Times New Roman" w:hAnsi="Times New Roman" w:cs="Times New Roman"/>
          <w:b/>
          <w:sz w:val="24"/>
          <w:szCs w:val="24"/>
        </w:rPr>
        <w:t>S</w:t>
      </w:r>
      <w:r w:rsidRPr="00FF7CC5">
        <w:rPr>
          <w:rFonts w:ascii="Times New Roman" w:hAnsi="Times New Roman" w:cs="Times New Roman"/>
          <w:b/>
          <w:sz w:val="24"/>
          <w:szCs w:val="24"/>
        </w:rPr>
        <w:t xml:space="preserve">ample </w:t>
      </w:r>
      <w:r w:rsidR="004B7EB3" w:rsidRPr="00FF7CC5">
        <w:rPr>
          <w:rFonts w:ascii="Times New Roman" w:hAnsi="Times New Roman" w:cs="Times New Roman"/>
          <w:b/>
          <w:sz w:val="24"/>
          <w:szCs w:val="24"/>
        </w:rPr>
        <w:t>C</w:t>
      </w:r>
      <w:r w:rsidRPr="00FF7CC5">
        <w:rPr>
          <w:rFonts w:ascii="Times New Roman" w:hAnsi="Times New Roman" w:cs="Times New Roman"/>
          <w:b/>
          <w:sz w:val="24"/>
          <w:szCs w:val="24"/>
        </w:rPr>
        <w:t xml:space="preserve">ollection and </w:t>
      </w:r>
      <w:r w:rsidR="004B7EB3" w:rsidRPr="00FF7CC5">
        <w:rPr>
          <w:rFonts w:ascii="Times New Roman" w:hAnsi="Times New Roman" w:cs="Times New Roman"/>
          <w:b/>
          <w:sz w:val="24"/>
          <w:szCs w:val="24"/>
        </w:rPr>
        <w:t>A</w:t>
      </w:r>
      <w:r w:rsidRPr="00FF7CC5">
        <w:rPr>
          <w:rFonts w:ascii="Times New Roman" w:hAnsi="Times New Roman" w:cs="Times New Roman"/>
          <w:b/>
          <w:sz w:val="24"/>
          <w:szCs w:val="24"/>
        </w:rPr>
        <w:t>ssay</w:t>
      </w:r>
    </w:p>
    <w:p w14:paraId="4F1FD274" w14:textId="0F5B753C" w:rsidR="00B6446D" w:rsidRPr="00FF7CC5" w:rsidRDefault="00B6446D" w:rsidP="00B6446D">
      <w:pPr>
        <w:spacing w:after="0" w:line="240" w:lineRule="auto"/>
        <w:ind w:firstLine="720"/>
        <w:rPr>
          <w:rFonts w:ascii="Times New Roman" w:hAnsi="Times New Roman" w:cs="Times New Roman"/>
          <w:sz w:val="24"/>
          <w:szCs w:val="24"/>
        </w:rPr>
      </w:pPr>
      <w:r w:rsidRPr="00FF7CC5">
        <w:rPr>
          <w:rFonts w:ascii="Times New Roman" w:hAnsi="Times New Roman" w:cs="Times New Roman"/>
          <w:sz w:val="24"/>
          <w:szCs w:val="24"/>
        </w:rPr>
        <w:lastRenderedPageBreak/>
        <w:t xml:space="preserve">Parents were provided with video instructions via a web-based platform and paper copies of instructions with pictures, collection materials (e.g., clips, scissors, foil, ID labels, padded envelope), and a brief questionnaire probing hair type and hair treatments </w:t>
      </w:r>
      <w:r w:rsidRPr="00FF7CC5">
        <w:rPr>
          <w:rFonts w:ascii="Times New Roman" w:hAnsi="Times New Roman" w:cs="Times New Roman"/>
          <w:sz w:val="24"/>
          <w:szCs w:val="24"/>
          <w:u w:val="single"/>
        </w:rPr>
        <w:fldChar w:fldCharType="begin"/>
      </w:r>
      <w:r w:rsidR="00D26C23">
        <w:rPr>
          <w:rFonts w:ascii="Times New Roman" w:hAnsi="Times New Roman" w:cs="Times New Roman"/>
          <w:sz w:val="24"/>
          <w:szCs w:val="24"/>
          <w:u w:val="single"/>
        </w:rPr>
        <w:instrText xml:space="preserve"> ADDIN ZOTERO_ITEM CSL_CITATION {"citationID":"KuA9byWW","properties":{"formattedCitation":"(Short et al., 2016)","plainCitation":"(Short et al., 2016)","noteIndex":0},"citationItems":[{"id":4134,"uris":["http://zotero.org/users/5240537/items/QJYLKNZS"],"itemData":{"id":4134,"type":"article-journal","abstract":"Characterization of cortisol production, regulation and function is of considerable interest and relevance given its ubiquitous role in virtually all aspects of physiology, health and disease risk. The quantification of cortisol concentration in hair has been proposed as a promising approach for the retrospective assessment of integrated, long-term cortisol production. However, human research is still needed to directly test and validate current assumptions about which aspects of cortisol production and regulation are reflected in hair cortisol concentrations (HCC). Here, we report findings from a validation study in a sample of 17 healthy adults (mean±SD age: 34±8.6 yrs). To determine the extent to which HCC captures cumulative cortisol production, we examined the correspondence of HCC, obtained from the first 1cm scalp-near hair segment, assumed to retrospectively reflect 1-month integrated cortisol secretion, with 30-day average salivary cortisol area-under-the curve (AUC) based on 3 samples collected per day (on awakening, +30min, at bedtime) and the average of 4 weekly 24-h urinary free cortisol (UFC) assessments. To further address which aspects of cortisol production and regulation are best reflected in the HCC measure, we also examined components of the salivary measures that represent: (1) production in response to the challenge of awakening (using the cortisol awakening response [CAR]), and (2) chronobiological regulation of cortisol production (using diurnal slope). Finally, we evaluated the test-retest stability of each cortisol measure. Results indicate that HCC was most strongly associated with the prior 30-day integrated cortisol production measure (average salivary cortisol AUC) (r=0.61, p=0.01). There were no significant associations between HCC and the 30-day summary measures using CAR or diurnal slope. The relationship between 1-month integrated 24-h UFC and HCC did not reach statistical significance (r=0.30, p=0.28). Lastly, of all cortisol measures, test-retest correlations of serial measures were highest for HCC (month-to-month: r=0.84, p&lt;0.001), followed by 24-h UFC (week-to-week: r’s between 0.59 and 0.68, ps&lt;0.05) and then integrated salivary cortisol concentrations (week-to-week: r’s between 0.38 and 0.61, p’s between 0.13 and 0.01). These findings support the contention that HCC provides a reliable estimate of long-term integrated free cortisol production that is aligned with integrated salivary cortisol production measured over a corresponding one-month period.","container-title":"Psychoneuroendocrinology","DOI":"10.1016/j.psyneuen.2016.05.007","ISSN":"0306-4530","journalAbbreviation":"Psychoneuroendocrinology","language":"en","page":"12-18","source":"ScienceDirect","title":"Correspondence between hair cortisol concentrations and 30-day integrated daily salivary and weekly urinary cortisol measures","URL":"http://www.sciencedirect.com/science/article/pii/S0306453016301366","volume":"71","author":[{"family":"Short","given":"Sarah J."},{"family":"Stalder","given":"Tobias"},{"family":"Marceau","given":"Kristine"},{"family":"Entringer","given":"Sonja"},{"family":"Moog","given":"Nora K."},{"family":"Shirtcliff","given":"Elizabeth A."},{"family":"Wadhwa","given":"Pathik D."},{"family":"Buss","given":"Claudia"}],"accessed":{"date-parts":[["2020",10,30]]},"issued":{"date-parts":[["2016",9,1]]}}}],"schema":"https://github.com/citation-style-language/schema/raw/master/csl-citation.json"} </w:instrText>
      </w:r>
      <w:r w:rsidRPr="00FF7CC5">
        <w:rPr>
          <w:rFonts w:ascii="Times New Roman" w:hAnsi="Times New Roman" w:cs="Times New Roman"/>
          <w:sz w:val="24"/>
          <w:szCs w:val="24"/>
          <w:u w:val="single"/>
        </w:rPr>
        <w:fldChar w:fldCharType="separate"/>
      </w:r>
      <w:r w:rsidR="00014071" w:rsidRPr="00FF7CC5">
        <w:rPr>
          <w:rFonts w:ascii="Times New Roman" w:hAnsi="Times New Roman" w:cs="Times New Roman"/>
          <w:sz w:val="24"/>
        </w:rPr>
        <w:t>(Short et al., 2016)</w:t>
      </w:r>
      <w:r w:rsidRPr="00FF7CC5">
        <w:rPr>
          <w:rFonts w:ascii="Times New Roman" w:hAnsi="Times New Roman" w:cs="Times New Roman"/>
          <w:sz w:val="24"/>
          <w:szCs w:val="24"/>
          <w:u w:val="single"/>
        </w:rPr>
        <w:fldChar w:fldCharType="end"/>
      </w:r>
      <w:r w:rsidRPr="00FF7CC5">
        <w:rPr>
          <w:rFonts w:ascii="Times New Roman" w:hAnsi="Times New Roman" w:cs="Times New Roman"/>
          <w:sz w:val="24"/>
          <w:szCs w:val="24"/>
        </w:rPr>
        <w:t xml:space="preserve">. Parents were instructed to comb, tie, and cut a small section of hair totaling approximately 100 strands as close as possible to the scalp from the posterior vertex (i.e., back of the head). Samples were placed unbent into an aluminum pouch, sealed with an ID label, placed into a padded envelope, and shipped to the Iowa State University Stress Physiology Investigative Team Laboratory where they were stored in the dark at room temperature. Home-collection has been validated for hair samples in adults and adolescents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{"citationID":"bV8a92qb","properties":{"formattedCitation":"(Ouellet-Morin et al., 2016; Ramirez et al., 2017)","plainCitation":"(Ouellet-Morin et al., 2016; Ramirez et al., 2017)","noteIndex":0},"citationItems":[{"id":4614,"uris":["http://zotero.org/users/5240537/items/Q9ZVAUWR"],"itemData":{"id":4614,"type":"article-journal","abstract":"Introduction\nIn the last decades, cortisol has been extensively studied in association to early exposure to adversity as well as in the etiology of a number of physical and mental problems. While saliva and blood samples allow the measurement of acute changes in cortisol secretion, hair samples are thought to provide a valid retrospective measure of chronic cortisol secretion over an extended period of time. Nevertheless, the existing protocol for hair collection involves considerable financial and logistical challenges when performed in large epidemiological studies.\nObjective\nThis study aimed to validate an adapted collection protocol asking participants to sample their hair at home and to send it back to our laboratory by regular mail.\nMethods\nParticipants were 34 teenagers between 17 and 18 years of age. They participated in two hair collections: (a) at home, with the help of someone they know, and (b) in our laboratory, with a trained research assistant.\nResults\nWe noted a strong correlation between cortisol ascertained from hair collected at home and at the laboratory. No mean difference in cortisol levels could be detected between the two protocols. Moreover, we showed that a wide range of hair-related, sociodemographic, lifestyle factors that may be associated with hair cortisol levels did not affect the association between cortisol measures derived from each protocol.\nConclusion\nOur study provides initial support that reliable measures of chronic cortisol secretion could be obtained by asking adolescents to collect a sample of their hair at home and send them to the laboratory by regular mail. This adapted protocol has considerable financial and logistical advantages in large epidemiological studies.","container-title":"Psychoneuroendocrinology","DOI":"10.1016/j.psyneuen.2016.05.002","ISSN":"0306-4530","journalAbbreviation":"Psychoneuroendocrinology","language":"en","page":"58-62","source":"ScienceDirect","title":"Validation of an adapted procedure to collect hair for cortisol determination in adolescents","URL":"https://www.sciencedirect.com/science/article/pii/S0306453016301275","volume":"70","author":[{"family":"Ouellet-Morin","given":"Isabelle"},{"family":"Laurin","given":"Mélissa"},{"family":"Robitaille","given":"Marie-Pier"},{"family":"Brendgen","given":"Mara"},{"family":"Lupien","given":"Sonia J."},{"family":"Boivin","given":"Michel"},{"family":"Vitaro","given":"Frank"}],"accessed":{"date-parts":[["2021",3,2]]},"issued":{"date-parts":[["2016",8,1]]}}},{"id":4612,"uris":["http://zotero.org/users/5240537/items/9AS77PWT"],"itemData":{"id":4612,"type":"article-journal","abstract":"The under-representation of ethnic minority participants, who are more likely to be socially disadvantaged in biomedical research, limits generalizability of results and reductions in health disparities. To facilitate investigations of how social disadvantage “gets under the skin,” this pilot study evaluated low-intensity methods for collecting hair and saliva samples from multiethnic breast cancer survivors (N = 70) and analysis of biomarkers of chronic stress (cortisol levels) and biological age (telomere length). Methods allowed for easy self-collection of hair (for cortisol) and saliva (for telomere lengths) samples that were highly stable for shipment and long-term storage. Measuring cortisol in hair as a biomarker of chronic stress was found to overcome many of the limitations of salivary cortisol measurements, and the coefficient of variation obtained using an ELISA-based approach to measure cortisol was within acceptable standards (16%). Telomere length measurements obtained using a qPCR approach had a coefficient of variation of &lt;10% when the DNA extracted from the saliva biospecimens was of sufficient quantity and quality (84%). The overall response rate was 47%; rates were 32% for African-Americans, 39% for Latinas, 40% for Asians, and 82% for non-Latina Whites. Self-collection of hair and saliva overcame cultural and logistical barriers associated with collection of blood. Results support the use of these biospecimen collection and analysis methods among ethnically diverse and disadvantaged populations to identify biopsychosocial pathways of health disparities. Our tools should stimulate research to better understand how social disadvantage “gets under the skin” and increase participation of ethnic minorities in biomedical research.","container-title":"Journal of Community Genetics","DOI":"10.1007/s12687-016-0288-y","ISSN":"1868-6001","issue":"2","journalAbbreviation":"J Community Genet","language":"en","page":"75-86","source":"Springer Link","title":"Evaluation of cortisol and telomere length measurements in ethnically diverse women with breast cancer using culturally sensitive methods","URL":"https://doi.org/10.1007/s12687-016-0288-y","volume":"8","author":[{"family":"Ramirez","given":"Julio"},{"family":"Elmofty","given":"May"},{"family":"Castillo","given":"Esperanza"},{"family":"DeRouen","given":"Mindy"},{"family":"Shariff-Marco","given":"Salma"},{"family":"Allen","given":"Laura"},{"family":"Gomez","given":"Scarlett Lin"},{"family":"Nápoles","given":"Anna María"},{"family":"Márquez-Magaña","given":"Leticia"}],"accessed":{"date-parts":[["2021",3,2]]},"issued":{"date-parts":[["2017",4,1]]}}}],"schema":"https://github.com/citation-style-language/schema/raw/master/csl-citation.json"}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(Ouellet-Morin et al., 2016; Ramirez et al., 2017)</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w:t>
      </w:r>
    </w:p>
    <w:p w14:paraId="12D9950B" w14:textId="3D16D91B" w:rsidR="00B6446D" w:rsidRPr="00FF7CC5" w:rsidRDefault="00B6446D" w:rsidP="00B6446D">
      <w:pPr>
        <w:spacing w:after="0" w:line="240" w:lineRule="auto"/>
        <w:ind w:firstLine="720"/>
        <w:rPr>
          <w:rFonts w:ascii="Times New Roman" w:hAnsi="Times New Roman" w:cs="Times New Roman"/>
          <w:sz w:val="24"/>
          <w:szCs w:val="24"/>
        </w:rPr>
      </w:pPr>
      <w:r w:rsidRPr="00FF7CC5">
        <w:rPr>
          <w:rFonts w:ascii="Times New Roman" w:hAnsi="Times New Roman" w:cs="Times New Roman"/>
          <w:sz w:val="24"/>
          <w:szCs w:val="24"/>
        </w:rPr>
        <w:t xml:space="preserve">Hair was segmented into four sequential 1cm sections. Given that the average growth rate for hair is 1 cm per month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{"citationID":"zOGD6d6R","properties":{"formattedCitation":"(Wennig, 2000)","plainCitation":"(Wennig, 2000)","noteIndex":0},"citationItems":[{"id":4158,"uris":["http://zotero.org/users/5240537/items/ECR6LNP6"],"itemData":{"id":4158,"type":"article-journal","abstract":"Due to differences in hair growth rate depending on anatomical region, age, gender, ethnicity and interindividual variability, interpretation of parent drug or / and metabolite concentrations in hair is not easy. Furthermore, as drug incorporation mechanisms into hair matrix is not yet fully understood, it is rather difﬁcult to extrapolate details on time and dose from hair segment analysis. If incorporation sources other than from bloodstream (skin secretions and / or external / environmental contamination) are considered, interpretation becomes even more complicated. For evaluating possible passive contamination, it is essential to consider speciﬁc identiﬁcation of metabolites, use of metabolite-to-parent drug ratios, assays of decontamination washes and analysis of specimens collected from other body parts. Cosmetic hair treatment, natural and artiﬁcial hair colour, differences in hair structure and speciﬁcity of analytical methodology may represent other bias sources affecting concentrations of drugs in hair. A suitable cut-off level related to the LOD will allow correct identiﬁcation of drugs or metabolites in hair. Regarding the performance of different hair testing laboratories, little information is available at this time to what extent test results are comparable and their interpretation is consistent. Frequency of drug consumption and time intervals between multiple consumption or lag time between consumption and appearance in the hair has not been fully investigated and needs further research. © 2000 Elsevier Science Ireland Ltd. All rights reserved.","container-title":"Forensic Science International","DOI":"10.1016/S0379-0738(99)00146-2","ISSN":"03790738","issue":"1-3","journalAbbreviation":"Forensic Science International","language":"en","page":"5-12","source":"DOI.org (Crossref)","title":"Potential problems with the interpretation of hair analysis results","URL":"https://linkinghub.elsevier.com/retrieve/pii/S0379073899001462","volume":"107","author":[{"family":"Wennig","given":"R."}],"accessed":{"date-parts":[["2020",10,30]]},"issued":{"date-parts":[["2000",1]]}}}],"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w:t>
      </w:r>
      <w:proofErr w:type="spellStart"/>
      <w:r w:rsidR="00014071" w:rsidRPr="00FF7CC5">
        <w:rPr>
          <w:rFonts w:ascii="Times New Roman" w:hAnsi="Times New Roman" w:cs="Times New Roman"/>
          <w:sz w:val="24"/>
        </w:rPr>
        <w:t>Wennig</w:t>
      </w:r>
      <w:proofErr w:type="spellEnd"/>
      <w:r w:rsidR="00014071" w:rsidRPr="00FF7CC5">
        <w:rPr>
          <w:rFonts w:ascii="Times New Roman" w:hAnsi="Times New Roman" w:cs="Times New Roman"/>
          <w:sz w:val="24"/>
        </w:rPr>
        <w:t>, 2000)</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xml:space="preserve">, coupled with the timing of hair sample collections for the present study relative to pandemic-related lockdowns, we analyzed four total 1 cm segments to capture hormone concentrations among youth over the past four months straddling the start of local lockdowns. For the purposes of this study, we focused on the most proximal (i.e., 0.0-1.0 cm from the scalp; “post-lockdown”) and the most distal (i.e., 3.0-4.0 cm from the scalp; “pre-lockdown”) hair segments to capture changes in cortisol concentrations prior to- versus post-lockdowns. Following standard protocols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{"citationID":"MnTIUVeX","properties":{"formattedCitation":"(Short et al., 2016; Wang et al., 2016, 2019)","plainCitation":"(Short et al., 2016; Wang et al., 2016, 2019)","noteIndex":0},"citationItems":[{"id":4134,"uris":["http://zotero.org/users/5240537/items/QJYLKNZS"],"itemData":{"id":4134,"type":"article-journal","abstract":"Characterization of cortisol production, regulation and function is of considerable interest and relevance given its ubiquitous role in virtually all aspects of physiology, health and disease risk. The quantification of cortisol concentration in hair has been proposed as a promising approach for the retrospective assessment of integrated, long-term cortisol production. However, human research is still needed to directly test and validate current assumptions about which aspects of cortisol production and regulation are reflected in hair cortisol concentrations (HCC). Here, we report findings from a validation study in a sample of 17 healthy adults (mean±SD age: 34±8.6 yrs). To determine the extent to which HCC captures cumulative cortisol production, we examined the correspondence of HCC, obtained from the first 1cm scalp-near hair segment, assumed to retrospectively reflect 1-month integrated cortisol secretion, with 30-day average salivary cortisol area-under-the curve (AUC) based on 3 samples collected per day (on awakening, +30min, at bedtime) and the average of 4 weekly 24-h urinary free cortisol (UFC) assessments. To further address which aspects of cortisol production and regulation are best reflected in the HCC measure, we also examined components of the salivary measures that represent: (1) production in response to the challenge of awakening (using the cortisol awakening response [CAR]), and (2) chronobiological regulation of cortisol production (using diurnal slope). Finally, we evaluated the test-retest stability of each cortisol measure. Results indicate that HCC was most strongly associated with the prior 30-day integrated cortisol production measure (average salivary cortisol AUC) (r=0.61, p=0.01). There were no significant associations between HCC and the 30-day summary measures using CAR or diurnal slope. The relationship between 1-month integrated 24-h UFC and HCC did not reach statistical significance (r=0.30, p=0.28). Lastly, of all cortisol measures, test-retest correlations of serial measures were highest for HCC (month-to-month: r=0.84, p&lt;0.001), followed by 24-h UFC (week-to-week: r’s between 0.59 and 0.68, ps&lt;0.05) and then integrated salivary cortisol concentrations (week-to-week: r’s between 0.38 and 0.61, p’s between 0.13 and 0.01). These findings support the contention that HCC provides a reliable estimate of long-term integrated free cortisol production that is aligned with integrated salivary cortisol production measured over a corresponding one-month period.","container-title":"Psychoneuroendocrinology","DOI":"10.1016/j.psyneuen.2016.05.007","ISSN":"0306-4530","journalAbbreviation":"Psychoneuroendocrinology","language":"en","page":"12-18","source":"ScienceDirect","title":"Correspondence between hair cortisol concentrations and 30-day integrated daily salivary and weekly urinary cortisol measures","URL":"http://www.sciencedirect.com/science/article/pii/S0306453016301366","volume":"71","author":[{"family":"Short","given":"Sarah J."},{"family":"Stalder","given":"Tobias"},{"family":"Marceau","given":"Kristine"},{"family":"Entringer","given":"Sonja"},{"family":"Moog","given":"Nora K."},{"family":"Shirtcliff","given":"Elizabeth A."},{"family":"Wadhwa","given":"Pathik D."},{"family":"Buss","given":"Claudia"}],"accessed":{"date-parts":[["2020",10,30]]},"issued":{"date-parts":[["2016",9,1]]}}},{"id":4611,"uris":["http://zotero.org/users/5240537/items/K5JHDLEW"],"itemData":{"id":4611,"type":"article-journal","abstract":"Methods: 3-cm segments were washed twice in 5 ml isopropanol for 3 min to eliminate impurities using a rotator and then allowed to dry for 2 days under a fume hood. Samples were weighed and ground for 6 min using a ball mill at 30 Hz. Powdered hair was extracted with 1.5 ml methanol and incubated for 24 h at room temperature with constant inversion. Samples were centrifuged at 5000 rpm for 5 min, and 1 ml of supernatant was transferred to a new cryovial and dried down using a nitrogen evaporator at 50 ◦C for 20 min. The steroid extract was reconstituted in assay diluent, vortexed, and assayed using commercially available enzyme-immunoassays for testosterone and DHEA.\nResults: The protocol iteratively validated several steps (e.g., size of grinder beads, 2 vs 3 days for drying, liquid nitrogen step, PBS vs assay diluent, amount of assay diluent during reconstitution, etc.). We then determined the optimal quantity of hair. We assayed testosterone and DHEA using 50 mg, 25 mg, 15 mg, 10 mg, and 5 mg of sample (N = 5 samples). For each quantity, hormones were within the assay range of sensitivity and there was a linear increase in testosterone and DHEA for heavier samples (R2 = .510 for testosterone; R2 = .502 for DHEA). Quantities of 50 mg and 25 mg returned DHEA above assay’s range. Samples were subsequently assayed with 15 mg and DHEA samples were diluted ×4 prior to assay. Linearity was determined by assaying serial dilutions of 15 mg samples and calculated as [observed-expected/expected]. For testosterone, samples fell on average 4.49 pg/ml above expected values. For DHEA, samples fell on average 29.69 pg/ml above expected values and there was a wide range in linearity.\nConclusions: Ongoing validation will ﬁnalize protocols for hair testosterone and DHEA (e.g., spike-recovery and comparison with other assay methods). Given the role of DHEA in stimulating hair growth and its local sebaceous activity, it is not surprising that DHEA levels were very high in hair and must be brought into range. Sex hormones were measurable even with very small quantities and we recommend 15 mg of sample. This opens the possibility for simple integration of hair sex hormones into future psychobiological investigations.","container-title":"Psychoneuroendocrinology","DOI":"10.1016/j.psyneuen.2016.07.119","ISSN":"03064530","journalAbbreviation":"Psychoneuroendocrinology","language":"en","page":"45","source":"DOI.org (Crossref)","title":"Noninvasive hair assay for sex hormones: Preliminary protocol validation","title-short":"Noninvasive hair assay for sex hormones","URL":"https://linkinghub.elsevier.com/retrieve/pii/S0306453016303419","volume":"71","author":[{"family":"Wang","given":"Wen"},{"family":"Moody","given":"Shannin N."},{"family":"Shirtcliff","given":"Elizabeth A."}],"accessed":{"date-parts":[["2021",3,2]]},"issued":{"date-parts":[["2016",9]]}}},{"id":4140,"uris":["http://zotero.org/users/5240537/items/U8XSH4N3"],"itemData":{"id":4140,"type":"article-journal","abstract":"Introduction\nSaliva is a common noninvasive biofluid for measuring stress and sex hormones, yet one pressing limitation is that salivary hormones fluctuate momentarily, daily, and (for girls) across the menstrual cycle. Hair steroid assays are thought to provide a cumulative index which collapses across hormonal variability, potentially eliminating the confound of daily and menstrual cyclicity and thereby reflecting individual differences in average hormone levels. Here we seek to validate a hair bioassay methodology and test whether hair androgens accurately measure long-term, stable androgen levels in emerging adult women across two menstrual cycles.\nMethods\nHair samples were collected at the end of each menstrual cycle for two cycles, and saliva samples were collected in the morning once per week across two menstrual cycles (N = 11 women). Hair samples were segmented by 1 cm for the first 4 cm to reflect the hormone levels of the past four serial months. Hair samples were assayed using commercially-available enzyme-immuno-assays for testosterone and DHEA.\nResults\nHair androgen concentrations were significantly correlated with averaged saliva hormone levels (DHEA: r = .75, p &lt; .05; Testosterone: r = .67, p &lt; .05). With respect to hair hormone stability, there were significant correlations for almost all the pairs of two 1 cm hair segments collected in two months that corresponded to the same time period. Hair androgens in one segment were significantly correlated with those in next segment. Regarding salivary androgen stability, the intra-class correlation across the weekly saliva samples indicated that for DHEA 59% of the total variance was within person and 41% was between person; and for testosterone 91% of the total variance was between person, and only 9% within person.\nDiscussion\nResults suggest that a one-time measure of hair provides a valid and reliable estimate of average steroid levels across two months. Moreover, whereas saliva measures of androgen levels capture week-to-week fluctuations in steroids, hair samples provide information on individual differences in average exposure to steroids, across long periods of time, such as months. Results are encouraging that hair DHEA and testosterone reflects the cumulative hormonal concentration and can be used as a stable hormonal index. Results also indicate that it is feasible to collect the first 3–4 centimeters of hair for studies of stable hormone levels.","container-title":"Psychoneuroendocrinology","DOI":"10.1016/j.psyneuen.2018.10.029","ISSN":"0306-4530","journalAbbreviation":"Psychoneuroendocrinology","language":"en","page":"175-181","source":"ScienceDirect","title":"Assay validation of hair androgens across the menstrual cycle","URL":"http://www.sciencedirect.com/science/article/pii/S0306453018306401","volume":"101","author":[{"family":"Wang","given":"Wen"},{"family":"Moody","given":"Shannin N."},{"family":"Kiesner","given":"Jeff"},{"family":"Tonon Appiani","given":"Anna"},{"family":"Robertson","given":"Olivia C."},{"family":"Shirtcliff","given":"Elizabeth A."}],"accessed":{"date-parts":[["2020",10,30]]},"issued":{"date-parts":[["2019",3,1]]}}}],"schema":"https://github.com/citation-style-language/schema/raw/master/csl-citation.json"}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(Short et al., 2016; Wang et al., 2016, 2019)</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xml:space="preserve">, each segment was washed twice in 2.5 ml of isopropanol for 3 minutes to eliminate impurities using a rotator. Samples were dried for 2 days under a fume hood and then ground to a fine powder in a ball mill for 6 minutes at a speed of 30 Hz. To reduce sample loss, each sample was ground within the same cryovial as used during extraction. Samples of powdered hair were weighed on an analytic balance and then extracted with 1.5ml methanol. Samples were incubated for 18-24 hours at room temperature with constant inversion using a rotator. Next, the samples were centrifuged at 5000 rpm for 5min to pellet the powdered hair. The supernatant was transferred to a new cryovial and, if necessary, aliquoted for multiple assays. Samples were dried down using a nitrogen evaporator at 50°C for 20 minutes. The steroid extract was then reconstituted using assay diluent. This reconstituted sample was assayed using commercially available enzyme-immunoassays (www.salimetrics.com). Inter-assay variability was 3.73% (control highs = 3.09%, control lows = 4.36%), and the overall intra-assay variability was 9.50% (most proximal segment = 7.35%, most distal segment = 11.65%), which was within the acceptable range of error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{"citationID":"NH7RAE7H","properties":{"formattedCitation":"(Tworoger &amp; Hankinson, 2006)","plainCitation":"(Tworoger &amp; Hankinson, 2006)","noteIndex":0},"citationItems":[{"id":4865,"uris":["http://zotero.org/users/5240537/items/IQIV3YJV"],"itemData":{"id":4865,"type":"article-journal","abstract":"The inclusion of biomarkers measured on the continuous scale, such as endogenous sex hormones or antioxidant levels, has become common in epidemiologic studies, and introduces additional sources of error that are specific to biomarkers. This includes error associated with specimen collection, processing, and storage; laboratory error (both within and between batch); and variability in the biomarker levels over time within an individual. In this review, we discuss and recommend study design and analytic strategies to deal with these sources of measurement error. In particular we describe methods to prevent or minimize some sources of error through appropriate sample collection and storage, communication with the laboratory, proper batching of samples, and participant matching. We also discuss how to quantify error related to biomarkers, focusing on issues of quality control, pilot studies, and how to measure within-person stability over time. Further, we discuss analytic issues for dealing with laboratory and within-person variability. Finally we recommend that journals standardize the reporting of biomarker assays in scientific manuscripts.","container-title":"Cancer Causes &amp; Control","DOI":"10.1007/s10552-006-0035-5","ISSN":"1573-7225","issue":"7","journalAbbreviation":"Cancer Causes Control","language":"en","page":"889-899","source":"Springer Link","title":"Use of biomarkers in epidemiologic studies: minimizing the influence of measurement error in the study design and analysis","title-short":"Use of biomarkers in epidemiologic studies","URL":"https://doi.org/10.1007/s10552-006-0035-5","volume":"17","author":[{"family":"Tworoger","given":"Shelley S."},{"family":"Hankinson","given":"Susan E."}],"accessed":{"date-parts":[["2021",3,29]]},"issued":{"date-parts":[["2006",9,1]]}}}],"schema":"https://github.com/citation-style-language/schema/raw/master/csl-citation.json"}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w:t>
      </w:r>
      <w:proofErr w:type="spellStart"/>
      <w:r w:rsidR="00014071" w:rsidRPr="00FF7CC5">
        <w:rPr>
          <w:rFonts w:ascii="Times New Roman" w:hAnsi="Times New Roman" w:cs="Times New Roman"/>
          <w:sz w:val="24"/>
        </w:rPr>
        <w:t>Tworoger</w:t>
      </w:r>
      <w:proofErr w:type="spellEnd"/>
      <w:r w:rsidR="00014071" w:rsidRPr="00FF7CC5">
        <w:rPr>
          <w:rFonts w:ascii="Times New Roman" w:hAnsi="Times New Roman" w:cs="Times New Roman"/>
          <w:sz w:val="24"/>
        </w:rPr>
        <w:t xml:space="preserve"> &amp; Hankinson, 2006)</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w:t>
      </w:r>
    </w:p>
    <w:p w14:paraId="403785DC" w14:textId="77777777" w:rsidR="00B6446D" w:rsidRPr="00FF7CC5" w:rsidRDefault="00B6446D" w:rsidP="00564124">
      <w:pPr>
        <w:spacing w:after="0" w:line="240" w:lineRule="auto"/>
        <w:rPr>
          <w:rFonts w:ascii="Times New Roman" w:hAnsi="Times New Roman" w:cs="Times New Roman"/>
          <w:sz w:val="24"/>
          <w:szCs w:val="24"/>
        </w:rPr>
      </w:pPr>
    </w:p>
    <w:p w14:paraId="2D1731F9" w14:textId="77777777" w:rsidR="00706F70" w:rsidRPr="00FF7CC5" w:rsidRDefault="00706F70" w:rsidP="00564124">
      <w:pPr>
        <w:spacing w:after="0" w:line="240" w:lineRule="auto"/>
        <w:rPr>
          <w:rFonts w:ascii="Times New Roman" w:hAnsi="Times New Roman" w:cs="Times New Roman"/>
          <w:b/>
          <w:sz w:val="24"/>
          <w:szCs w:val="24"/>
        </w:rPr>
      </w:pPr>
      <w:r w:rsidRPr="00FF7CC5">
        <w:rPr>
          <w:rFonts w:ascii="Times New Roman" w:hAnsi="Times New Roman" w:cs="Times New Roman"/>
          <w:b/>
          <w:sz w:val="24"/>
          <w:szCs w:val="24"/>
        </w:rPr>
        <w:t>Statistical Analysis: Latent Change Score Models</w:t>
      </w:r>
    </w:p>
    <w:p w14:paraId="10B62474" w14:textId="59E78075" w:rsidR="00A4077B" w:rsidRPr="00A44901" w:rsidRDefault="00A4077B" w:rsidP="00706F70">
      <w:pPr>
        <w:spacing w:after="0" w:line="240" w:lineRule="auto"/>
        <w:ind w:firstLine="720"/>
        <w:rPr>
          <w:rFonts w:ascii="Times New Roman" w:hAnsi="Times New Roman" w:cs="Times New Roman"/>
          <w:sz w:val="24"/>
          <w:szCs w:val="24"/>
        </w:rPr>
      </w:pPr>
      <w:r w:rsidRPr="00FF7CC5">
        <w:rPr>
          <w:rFonts w:ascii="Times New Roman" w:hAnsi="Times New Roman" w:cs="Times New Roman"/>
          <w:sz w:val="24"/>
          <w:szCs w:val="24"/>
        </w:rPr>
        <w:t xml:space="preserve">The current study employed latent change score models to address our specific research questions: 1) to what degree did mental wellness and circulating cortisol change from a pre-lockdown time to post-lockdowns, and 2) how are these changes (specifically magnitude of change) related to one another? Using the latent change score approach, we leveraged difference scores per domain (i.e., cortisol, positive affect, and negative affect) to understand the degree to which the amount of change over time in a specific domain was dependent on pre-lockdown scores in all domains (i.e., cross-domain coupling), which is far more representative of the known nature of endocrine-mental health associations than more basic statistical approaches afford. Further, we were able to explore all of this while probing our primary research question regarding directionality of effects (i.e., do changes in cortisol predict changes in affect or </w:t>
      </w:r>
      <w:proofErr w:type="spellStart"/>
      <w:r w:rsidRPr="00FF7CC5">
        <w:rPr>
          <w:rFonts w:ascii="Times New Roman" w:hAnsi="Times New Roman" w:cs="Times New Roman"/>
          <w:sz w:val="24"/>
          <w:szCs w:val="24"/>
        </w:rPr>
        <w:t>vise</w:t>
      </w:r>
      <w:proofErr w:type="spellEnd"/>
      <w:r w:rsidRPr="00FF7CC5">
        <w:rPr>
          <w:rFonts w:ascii="Times New Roman" w:hAnsi="Times New Roman" w:cs="Times New Roman"/>
          <w:sz w:val="24"/>
          <w:szCs w:val="24"/>
        </w:rPr>
        <w:t xml:space="preserve"> versa), while concurrently controlling for demographic characteristics known to influence both mental health and endocrinology during adolescence. </w:t>
      </w:r>
      <w:r w:rsidR="00D26C23" w:rsidRPr="00A44901">
        <w:rPr>
          <w:rFonts w:ascii="Times New Roman" w:hAnsi="Times New Roman" w:cs="Times New Roman"/>
          <w:sz w:val="24"/>
          <w:szCs w:val="24"/>
        </w:rPr>
        <w:t xml:space="preserve">Given the desire to model changes over </w:t>
      </w:r>
      <w:r w:rsidR="00D26C23" w:rsidRPr="00A44901">
        <w:rPr>
          <w:rFonts w:ascii="Times New Roman" w:hAnsi="Times New Roman" w:cs="Times New Roman"/>
          <w:sz w:val="24"/>
          <w:szCs w:val="24"/>
        </w:rPr>
        <w:lastRenderedPageBreak/>
        <w:t xml:space="preserve">time, and to enter those changes over time into a more complex model, the latent change score technique was favorable over other similar approaches like linear mixed effects modeling </w:t>
      </w:r>
      <w:r w:rsidR="00D26C23" w:rsidRPr="00A44901">
        <w:rPr>
          <w:rFonts w:ascii="Times New Roman" w:hAnsi="Times New Roman" w:cs="Times New Roman"/>
          <w:sz w:val="24"/>
          <w:szCs w:val="24"/>
        </w:rPr>
        <w:fldChar w:fldCharType="begin"/>
      </w:r>
      <w:r w:rsidR="00D26C23" w:rsidRPr="00A44901">
        <w:rPr>
          <w:rFonts w:ascii="Times New Roman" w:hAnsi="Times New Roman" w:cs="Times New Roman"/>
          <w:sz w:val="24"/>
          <w:szCs w:val="24"/>
        </w:rPr>
        <w:instrText xml:space="preserve"> ADDIN ZOTERO_ITEM CSL_CITATION {"citationID":"XV4cbEwf","properties":{"formattedCitation":"(Kievit et al., 2018; McNeish &amp; Matta, 2018)","plainCitation":"(Kievit et al., 2018; McNeish &amp; Matta, 2018)","noteIndex":0},"citationItems":[{"id":335,"uris":["http://zotero.org/users/5240537/items/8P2VCUSG"],"itemData":{"id":335,"type":"article-journal","abstract":"Assessing and analysing individual differences in change over time is of central scientific importance to developmental neuroscience. However, the literature is based largely on cross-sectional comparisons, which reflect a variety of influences and cannot directly represent change. We advocate using latent change score (LCS) models in longitudinal samples as a statistical framework to tease apart the complex processes underlying lifespan development in brain and behaviour using longitudinal data. LCS models provide a flexible framework that naturally accommodates key developmental questions as model parameters and can even be used, with some limitations, in cases with only two measurement occasions. We illustrate the use of LCS models with two empirical examples. In a lifespan cognitive training study (COGITO, N = 204 (N = 32 imaging) on two waves) we observe correlated change in brain and behaviour in the context of a high-intensity training intervention. In an adolescent development cohort (NSPN, N = 176, two waves) we find greater variability in cortical thinning in males than in females. To facilitate the adoption of LCS by the developmental community, we provide analysis code that can be adapted by other researchers and basic primers in two freely available SEM software packages (lavaan and Ωnyx).","container-title":"Developmental Cognitive Neuroscience","DOI":"10.1016/j.dcn.2017.11.007","ISSN":"1878-9293","journalAbbreviation":"Developmental Cognitive Neuroscience","page":"99-117","source":"ScienceDirect","title":"Developmental cognitive neuroscience using latent change score models: A tutorial and applications","title-short":"Developmental cognitive neuroscience using latent change score models","URL":"http://www.sciencedirect.com/science/article/pii/S187892931730021X","volume":"33","author":[{"family":"Kievit","given":"Rogier A."},{"family":"Brandmaier","given":"Andreas M."},{"family":"Ziegler","given":"Gabriel"},{"family":"Harmelen","given":"Anne-Laura","non-dropping-particle":"van"},{"family":"Mooij","given":"Susanne M. M.","non-dropping-particle":"de"},{"family":"Moutoussis","given":"Michael"},{"family":"Goodyer","given":"Ian M."},{"family":"Bullmore","given":"Ed"},{"family":"Jones","given":"Peter B."},{"family":"Fonagy","given":"Peter"},{"family":"Lindenberger","given":"Ulman"},{"family":"Dolan","given":"Raymond J."}],"accessed":{"date-parts":[["2018",10,31]]},"issued":{"date-parts":[["2018",10,1]]}}},{"id":7244,"uris":["http://zotero.org/users/5240537/items/AJK829MN"],"itemData":{"id":7244,"type":"article-journal","abstract":"Growth models are a widely researched, staple statistical method. In behavioral sciences, mixed effects models and latent curve models are both widely used to explore growth over time. Despite the widespread popularity, there remains some confusion regarding the similarity of these different approaches with opinions varying from the approaches being completely distinct to others affirming that they are identical. Recent articles have shown the two modeling frameworks are mathematically equivalent in many cases; however, there are some important differences in estimation and specification that can lead to each model producing very different results. Thus, mathematical equivalence does not necessarily equate to functional equivalence in all cases. In this paper, we discuss these two common approaches to growth modeling and highlight contexts where the choice of the modeling framework directly can impact model estimates or in which certain analyses can be facilitated in one framework over the other. We provide several empirical examples to illustrate these situations and ample software code so that researchers can make informed decisions regarding which framework is the most beneficial for their research interests.","container-title":"Behavior Research Methods","DOI":"10.3758/s13428-017-0976-5","ISSN":"1554-3528","issue":"4","journalAbbreviation":"Behav Res","language":"en","page":"1398-1414","source":"DOI.org (Crossref)","title":"Differentiating between mixed-effects and latent-curve approaches to growth modeling","URL":"http://link.springer.com/10.3758/s13428-017-0976-5","volume":"50","author":[{"family":"McNeish","given":"Daniel"},{"family":"Matta","given":"Tyler"}],"accessed":{"date-parts":[["2022",3,10]]},"issued":{"date-parts":[["2018",8]]}}}],"schema":"https://github.com/citation-style-language/schema/raw/master/csl-citation.json"} </w:instrText>
      </w:r>
      <w:r w:rsidR="00D26C23" w:rsidRPr="00A44901">
        <w:rPr>
          <w:rFonts w:ascii="Times New Roman" w:hAnsi="Times New Roman" w:cs="Times New Roman"/>
          <w:sz w:val="24"/>
          <w:szCs w:val="24"/>
        </w:rPr>
        <w:fldChar w:fldCharType="separate"/>
      </w:r>
      <w:r w:rsidR="00D26C23" w:rsidRPr="00A44901">
        <w:rPr>
          <w:rFonts w:ascii="Times New Roman" w:hAnsi="Times New Roman" w:cs="Times New Roman"/>
          <w:sz w:val="24"/>
        </w:rPr>
        <w:t>(</w:t>
      </w:r>
      <w:proofErr w:type="spellStart"/>
      <w:r w:rsidR="00D26C23" w:rsidRPr="00A44901">
        <w:rPr>
          <w:rFonts w:ascii="Times New Roman" w:hAnsi="Times New Roman" w:cs="Times New Roman"/>
          <w:sz w:val="24"/>
        </w:rPr>
        <w:t>Kievit</w:t>
      </w:r>
      <w:proofErr w:type="spellEnd"/>
      <w:r w:rsidR="00D26C23" w:rsidRPr="00A44901">
        <w:rPr>
          <w:rFonts w:ascii="Times New Roman" w:hAnsi="Times New Roman" w:cs="Times New Roman"/>
          <w:sz w:val="24"/>
        </w:rPr>
        <w:t xml:space="preserve"> et al., 2018; </w:t>
      </w:r>
      <w:proofErr w:type="spellStart"/>
      <w:r w:rsidR="00D26C23" w:rsidRPr="00A44901">
        <w:rPr>
          <w:rFonts w:ascii="Times New Roman" w:hAnsi="Times New Roman" w:cs="Times New Roman"/>
          <w:sz w:val="24"/>
        </w:rPr>
        <w:t>McNeish</w:t>
      </w:r>
      <w:proofErr w:type="spellEnd"/>
      <w:r w:rsidR="00D26C23" w:rsidRPr="00A44901">
        <w:rPr>
          <w:rFonts w:ascii="Times New Roman" w:hAnsi="Times New Roman" w:cs="Times New Roman"/>
          <w:sz w:val="24"/>
        </w:rPr>
        <w:t xml:space="preserve"> &amp; Matta, 2018)</w:t>
      </w:r>
      <w:r w:rsidR="00D26C23" w:rsidRPr="00A44901">
        <w:rPr>
          <w:rFonts w:ascii="Times New Roman" w:hAnsi="Times New Roman" w:cs="Times New Roman"/>
          <w:sz w:val="24"/>
          <w:szCs w:val="24"/>
        </w:rPr>
        <w:fldChar w:fldCharType="end"/>
      </w:r>
      <w:r w:rsidR="00D26C23" w:rsidRPr="00A44901">
        <w:rPr>
          <w:rFonts w:ascii="Times New Roman" w:hAnsi="Times New Roman" w:cs="Times New Roman"/>
          <w:sz w:val="24"/>
          <w:szCs w:val="24"/>
        </w:rPr>
        <w:t>.</w:t>
      </w:r>
    </w:p>
    <w:p w14:paraId="6DE4EA42" w14:textId="0AB86C82" w:rsidR="00706F70" w:rsidRPr="00FF7CC5" w:rsidRDefault="00706F70" w:rsidP="00706F70">
      <w:pPr>
        <w:spacing w:after="0" w:line="240" w:lineRule="auto"/>
        <w:ind w:firstLine="720"/>
        <w:rPr>
          <w:rFonts w:ascii="Times New Roman" w:hAnsi="Times New Roman" w:cs="Times New Roman"/>
          <w:b/>
          <w:sz w:val="24"/>
          <w:szCs w:val="24"/>
        </w:rPr>
      </w:pPr>
      <w:r w:rsidRPr="00A44901">
        <w:rPr>
          <w:rFonts w:ascii="Times New Roman" w:hAnsi="Times New Roman" w:cs="Times New Roman"/>
          <w:sz w:val="24"/>
          <w:szCs w:val="24"/>
        </w:rPr>
        <w:t xml:space="preserve">For each of the three measures of interest, </w:t>
      </w:r>
      <w:r w:rsidR="00874947" w:rsidRPr="00A44901">
        <w:rPr>
          <w:rFonts w:ascii="Times New Roman" w:hAnsi="Times New Roman" w:cs="Times New Roman"/>
          <w:sz w:val="24"/>
          <w:szCs w:val="24"/>
        </w:rPr>
        <w:t>t</w:t>
      </w:r>
      <w:r w:rsidR="00874947" w:rsidRPr="00A44901">
        <w:rPr>
          <w:rFonts w:ascii="Times New Roman" w:hAnsi="Times New Roman" w:cs="Times New Roman"/>
          <w:sz w:val="24"/>
          <w:szCs w:val="24"/>
        </w:rPr>
        <w:t xml:space="preserve">he post-lockdown measure was regressed on the pre-lockdown measure with the regression weight constrained to 1. </w:t>
      </w:r>
      <w:r w:rsidR="00874947" w:rsidRPr="00A44901">
        <w:rPr>
          <w:rFonts w:ascii="Times New Roman" w:hAnsi="Times New Roman" w:cs="Times New Roman"/>
          <w:sz w:val="24"/>
          <w:szCs w:val="24"/>
        </w:rPr>
        <w:t>W</w:t>
      </w:r>
      <w:r w:rsidRPr="00A44901">
        <w:rPr>
          <w:rFonts w:ascii="Times New Roman" w:hAnsi="Times New Roman" w:cs="Times New Roman"/>
          <w:sz w:val="24"/>
          <w:szCs w:val="24"/>
        </w:rPr>
        <w:t>e</w:t>
      </w:r>
      <w:r w:rsidR="00874947" w:rsidRPr="00A44901">
        <w:rPr>
          <w:rFonts w:ascii="Times New Roman" w:hAnsi="Times New Roman" w:cs="Times New Roman"/>
          <w:sz w:val="24"/>
          <w:szCs w:val="24"/>
        </w:rPr>
        <w:t xml:space="preserve"> then</w:t>
      </w:r>
      <w:r w:rsidRPr="00A44901">
        <w:rPr>
          <w:rFonts w:ascii="Times New Roman" w:hAnsi="Times New Roman" w:cs="Times New Roman"/>
          <w:sz w:val="24"/>
          <w:szCs w:val="24"/>
        </w:rPr>
        <w:t xml:space="preserve"> defined a latent change variable using the post-lockdown measure </w:t>
      </w:r>
      <w:r w:rsidR="008674D9" w:rsidRPr="00A44901">
        <w:rPr>
          <w:rFonts w:ascii="Times New Roman" w:hAnsi="Times New Roman" w:cs="Times New Roman"/>
          <w:sz w:val="24"/>
          <w:szCs w:val="24"/>
        </w:rPr>
        <w:t xml:space="preserve">with the regression weight </w:t>
      </w:r>
      <w:r w:rsidRPr="00A44901">
        <w:rPr>
          <w:rFonts w:ascii="Times New Roman" w:hAnsi="Times New Roman" w:cs="Times New Roman"/>
          <w:sz w:val="24"/>
          <w:szCs w:val="24"/>
        </w:rPr>
        <w:t>constrained to 1.</w:t>
      </w:r>
      <w:r w:rsidR="00874947" w:rsidRPr="00A44901">
        <w:rPr>
          <w:rFonts w:ascii="Times New Roman" w:hAnsi="Times New Roman" w:cs="Times New Roman"/>
          <w:sz w:val="24"/>
          <w:szCs w:val="24"/>
        </w:rPr>
        <w:t xml:space="preserve"> This effectively force</w:t>
      </w:r>
      <w:r w:rsidR="002920E6" w:rsidRPr="00A44901">
        <w:rPr>
          <w:rFonts w:ascii="Times New Roman" w:hAnsi="Times New Roman" w:cs="Times New Roman"/>
          <w:sz w:val="24"/>
          <w:szCs w:val="24"/>
        </w:rPr>
        <w:t>d</w:t>
      </w:r>
      <w:r w:rsidR="00874947" w:rsidRPr="00A44901">
        <w:rPr>
          <w:rFonts w:ascii="Times New Roman" w:hAnsi="Times New Roman" w:cs="Times New Roman"/>
          <w:sz w:val="24"/>
          <w:szCs w:val="24"/>
        </w:rPr>
        <w:t xml:space="preserve"> </w:t>
      </w:r>
      <w:proofErr w:type="gramStart"/>
      <w:r w:rsidR="00874947" w:rsidRPr="00A44901">
        <w:rPr>
          <w:rFonts w:ascii="Times New Roman" w:hAnsi="Times New Roman" w:cs="Times New Roman"/>
          <w:sz w:val="24"/>
          <w:szCs w:val="24"/>
        </w:rPr>
        <w:t>all of</w:t>
      </w:r>
      <w:proofErr w:type="gramEnd"/>
      <w:r w:rsidR="00874947" w:rsidRPr="00A44901">
        <w:rPr>
          <w:rFonts w:ascii="Times New Roman" w:hAnsi="Times New Roman" w:cs="Times New Roman"/>
          <w:sz w:val="24"/>
          <w:szCs w:val="24"/>
        </w:rPr>
        <w:t xml:space="preserve"> the variance from the observed variable, after accounting for the pre-lockdown measure association, into the latent change score.</w:t>
      </w:r>
      <w:r w:rsidRPr="00A44901">
        <w:rPr>
          <w:rFonts w:ascii="Times New Roman" w:hAnsi="Times New Roman" w:cs="Times New Roman"/>
          <w:sz w:val="24"/>
          <w:szCs w:val="24"/>
        </w:rPr>
        <w:t xml:space="preserve"> </w:t>
      </w:r>
      <w:r w:rsidR="00874947" w:rsidRPr="00A44901">
        <w:rPr>
          <w:rFonts w:ascii="Times New Roman" w:hAnsi="Times New Roman" w:cs="Times New Roman"/>
          <w:sz w:val="24"/>
          <w:szCs w:val="24"/>
        </w:rPr>
        <w:t xml:space="preserve">The remaining </w:t>
      </w:r>
      <w:r w:rsidR="00874947" w:rsidRPr="00A44901">
        <w:rPr>
          <w:rFonts w:ascii="Times New Roman" w:hAnsi="Times New Roman" w:cs="Times New Roman"/>
          <w:sz w:val="24"/>
          <w:szCs w:val="24"/>
        </w:rPr>
        <w:t xml:space="preserve">means and variances </w:t>
      </w:r>
      <w:r w:rsidR="00874947" w:rsidRPr="00A44901">
        <w:rPr>
          <w:rFonts w:ascii="Times New Roman" w:hAnsi="Times New Roman" w:cs="Times New Roman"/>
          <w:sz w:val="24"/>
          <w:szCs w:val="24"/>
        </w:rPr>
        <w:t>for the observed p</w:t>
      </w:r>
      <w:r w:rsidR="00874947" w:rsidRPr="00A44901">
        <w:rPr>
          <w:rFonts w:ascii="Times New Roman" w:hAnsi="Times New Roman" w:cs="Times New Roman"/>
          <w:sz w:val="24"/>
          <w:szCs w:val="24"/>
        </w:rPr>
        <w:t xml:space="preserve">ost-lockdown measure were </w:t>
      </w:r>
      <w:r w:rsidR="002920E6" w:rsidRPr="00A44901">
        <w:rPr>
          <w:rFonts w:ascii="Times New Roman" w:hAnsi="Times New Roman" w:cs="Times New Roman"/>
          <w:sz w:val="24"/>
          <w:szCs w:val="24"/>
        </w:rPr>
        <w:t>constrained</w:t>
      </w:r>
      <w:r w:rsidR="00874947" w:rsidRPr="00A44901">
        <w:rPr>
          <w:rFonts w:ascii="Times New Roman" w:hAnsi="Times New Roman" w:cs="Times New Roman"/>
          <w:sz w:val="24"/>
          <w:szCs w:val="24"/>
        </w:rPr>
        <w:t xml:space="preserve"> at 0</w:t>
      </w:r>
      <w:r w:rsidR="00874947" w:rsidRPr="00A44901">
        <w:rPr>
          <w:rFonts w:ascii="Times New Roman" w:hAnsi="Times New Roman" w:cs="Times New Roman"/>
          <w:sz w:val="24"/>
          <w:szCs w:val="24"/>
        </w:rPr>
        <w:t xml:space="preserve"> because there should be no remaining </w:t>
      </w:r>
      <w:r w:rsidR="002920E6" w:rsidRPr="00A44901">
        <w:rPr>
          <w:rFonts w:ascii="Times New Roman" w:hAnsi="Times New Roman" w:cs="Times New Roman"/>
          <w:sz w:val="24"/>
          <w:szCs w:val="24"/>
        </w:rPr>
        <w:t>variance</w:t>
      </w:r>
      <w:r w:rsidR="00874947" w:rsidRPr="00A44901">
        <w:rPr>
          <w:rFonts w:ascii="Times New Roman" w:hAnsi="Times New Roman" w:cs="Times New Roman"/>
          <w:sz w:val="24"/>
          <w:szCs w:val="24"/>
        </w:rPr>
        <w:t xml:space="preserve"> in the observed variable after constructing the latent change score</w:t>
      </w:r>
      <w:r w:rsidR="00874947" w:rsidRPr="00A44901">
        <w:rPr>
          <w:rFonts w:ascii="Times New Roman" w:hAnsi="Times New Roman" w:cs="Times New Roman"/>
          <w:sz w:val="24"/>
          <w:szCs w:val="24"/>
        </w:rPr>
        <w:t xml:space="preserve">. </w:t>
      </w:r>
      <w:r w:rsidRPr="00A44901">
        <w:rPr>
          <w:rFonts w:ascii="Times New Roman" w:hAnsi="Times New Roman" w:cs="Times New Roman"/>
          <w:sz w:val="24"/>
          <w:szCs w:val="24"/>
        </w:rPr>
        <w:t xml:space="preserve">The latent change variable was regressed on the pre-lockdown measure. </w:t>
      </w:r>
      <w:r w:rsidR="00B0094A" w:rsidRPr="00A44901">
        <w:rPr>
          <w:rFonts w:ascii="Times New Roman" w:hAnsi="Times New Roman" w:cs="Times New Roman"/>
          <w:sz w:val="24"/>
          <w:szCs w:val="24"/>
        </w:rPr>
        <w:t>All other parameters were freely estimated.</w:t>
      </w:r>
      <w:r w:rsidRPr="00A44901">
        <w:rPr>
          <w:rFonts w:ascii="Times New Roman" w:hAnsi="Times New Roman" w:cs="Times New Roman"/>
          <w:sz w:val="24"/>
          <w:szCs w:val="24"/>
        </w:rPr>
        <w:t xml:space="preserve"> Pre-lockdown measures were all allowed </w:t>
      </w:r>
      <w:proofErr w:type="gramStart"/>
      <w:r w:rsidRPr="00A44901">
        <w:rPr>
          <w:rFonts w:ascii="Times New Roman" w:hAnsi="Times New Roman" w:cs="Times New Roman"/>
          <w:sz w:val="24"/>
          <w:szCs w:val="24"/>
        </w:rPr>
        <w:t>to</w:t>
      </w:r>
      <w:proofErr w:type="gramEnd"/>
      <w:r w:rsidRPr="00A44901">
        <w:rPr>
          <w:rFonts w:ascii="Times New Roman" w:hAnsi="Times New Roman" w:cs="Times New Roman"/>
          <w:sz w:val="24"/>
          <w:szCs w:val="24"/>
        </w:rPr>
        <w:t xml:space="preserve"> freely correlate. As appropriate, we examined cross-domain coupling. In each model, all three latent change variables were regressed on age and sex to account for potential developmental effects. Relationships among latent change variables are described in the </w:t>
      </w:r>
      <w:r w:rsidR="00BF25BC" w:rsidRPr="00A44901">
        <w:rPr>
          <w:rFonts w:ascii="Times New Roman" w:hAnsi="Times New Roman" w:cs="Times New Roman"/>
          <w:sz w:val="24"/>
          <w:szCs w:val="24"/>
        </w:rPr>
        <w:t>main text</w:t>
      </w:r>
      <w:r w:rsidRPr="00A44901">
        <w:rPr>
          <w:rFonts w:ascii="Times New Roman" w:hAnsi="Times New Roman" w:cs="Times New Roman"/>
          <w:sz w:val="24"/>
          <w:szCs w:val="24"/>
        </w:rPr>
        <w:t xml:space="preserve"> and varied across models.</w:t>
      </w:r>
      <w:r w:rsidR="00D26C23" w:rsidRPr="00A44901">
        <w:rPr>
          <w:rFonts w:ascii="Times New Roman" w:hAnsi="Times New Roman" w:cs="Times New Roman"/>
          <w:sz w:val="24"/>
          <w:szCs w:val="24"/>
        </w:rPr>
        <w:t xml:space="preserve"> Results reported include standardized regression coefficients, which were computed in </w:t>
      </w:r>
      <w:proofErr w:type="spellStart"/>
      <w:r w:rsidR="00D26C23" w:rsidRPr="00A44901">
        <w:rPr>
          <w:rFonts w:ascii="Times New Roman" w:hAnsi="Times New Roman" w:cs="Times New Roman"/>
          <w:sz w:val="24"/>
          <w:szCs w:val="24"/>
        </w:rPr>
        <w:t>Mplus</w:t>
      </w:r>
      <w:proofErr w:type="spellEnd"/>
      <w:r w:rsidR="00D26C23" w:rsidRPr="00A44901">
        <w:rPr>
          <w:rFonts w:ascii="Times New Roman" w:hAnsi="Times New Roman" w:cs="Times New Roman"/>
          <w:sz w:val="24"/>
          <w:szCs w:val="24"/>
        </w:rPr>
        <w:t xml:space="preserve"> using the “STDYX” option in the “OUTPUT” command (</w:t>
      </w:r>
      <w:proofErr w:type="spellStart"/>
      <w:r w:rsidR="00D26C23" w:rsidRPr="00A44901">
        <w:rPr>
          <w:rFonts w:ascii="Times New Roman" w:hAnsi="Times New Roman" w:cs="Times New Roman"/>
          <w:sz w:val="24"/>
          <w:szCs w:val="24"/>
        </w:rPr>
        <w:t>b</w:t>
      </w:r>
      <w:r w:rsidR="00D26C23" w:rsidRPr="00A44901">
        <w:rPr>
          <w:rFonts w:ascii="Times New Roman" w:hAnsi="Times New Roman" w:cs="Times New Roman"/>
          <w:sz w:val="24"/>
          <w:szCs w:val="24"/>
          <w:vertAlign w:val="subscript"/>
        </w:rPr>
        <w:t>StdYX</w:t>
      </w:r>
      <w:proofErr w:type="spellEnd"/>
      <w:r w:rsidR="00D26C23" w:rsidRPr="00A44901">
        <w:rPr>
          <w:rFonts w:ascii="Times New Roman" w:hAnsi="Times New Roman" w:cs="Times New Roman"/>
          <w:sz w:val="24"/>
          <w:szCs w:val="24"/>
        </w:rPr>
        <w:t xml:space="preserve"> = b*SD(x)/SD(y)</w:t>
      </w:r>
      <w:r w:rsidR="00D26C23" w:rsidRPr="00A44901">
        <w:rPr>
          <w:rFonts w:ascii="Times New Roman" w:hAnsi="Times New Roman" w:cs="Times New Roman"/>
          <w:sz w:val="24"/>
          <w:szCs w:val="24"/>
        </w:rPr>
        <w:t xml:space="preserve">; </w:t>
      </w:r>
      <w:r w:rsidR="00D26C23" w:rsidRPr="00A44901">
        <w:rPr>
          <w:rFonts w:ascii="Times New Roman" w:hAnsi="Times New Roman" w:cs="Times New Roman"/>
          <w:sz w:val="24"/>
          <w:szCs w:val="24"/>
        </w:rPr>
        <w:fldChar w:fldCharType="begin"/>
      </w:r>
      <w:r w:rsidR="00D26C23" w:rsidRPr="00A44901">
        <w:rPr>
          <w:rFonts w:ascii="Times New Roman" w:hAnsi="Times New Roman" w:cs="Times New Roman"/>
          <w:sz w:val="24"/>
          <w:szCs w:val="24"/>
        </w:rPr>
        <w:instrText xml:space="preserve"> ADDIN ZOTERO_ITEM CSL_CITATION {"citationID":"Vsty0zDW","properties":{"formattedCitation":"(Muthen &amp; Muth\\uc0\\u233{}n, 2012)","plainCitation":"(Muthen &amp; Muthén, 2012)","noteIndex":0},"citationItems":[{"id":5672,"uris":["http://zotero.org/users/5240537/items/VD4XWSRN"],"itemData":{"id":5672,"type":"book","edition":"Seventh","event-place":"Los Angeles, CA","publisher":"Muthen &amp; Muthen","publisher-place":"Los Angeles, CA","title":"Mplus User's Guide","URL":"https://www.statmodel.com/download/usersguide/Mplus%20user%20guide%20Ver_7_r6_web.pdf","author":[{"family":"Muthen","given":"Linda K."},{"family":"Muthén","given":"Bengt O."}],"accessed":{"date-parts":[["2021",8,19]]},"issued":{"date-parts":[["2012"]]}}}],"schema":"https://github.com/citation-style-language/schema/raw/master/csl-citation.json"} </w:instrText>
      </w:r>
      <w:r w:rsidR="00D26C23" w:rsidRPr="00A44901">
        <w:rPr>
          <w:rFonts w:ascii="Times New Roman" w:hAnsi="Times New Roman" w:cs="Times New Roman"/>
          <w:sz w:val="24"/>
          <w:szCs w:val="24"/>
        </w:rPr>
        <w:fldChar w:fldCharType="separate"/>
      </w:r>
      <w:proofErr w:type="spellStart"/>
      <w:r w:rsidR="00D26C23" w:rsidRPr="00A44901">
        <w:rPr>
          <w:rFonts w:ascii="Times New Roman" w:hAnsi="Times New Roman" w:cs="Times New Roman"/>
          <w:sz w:val="24"/>
          <w:szCs w:val="24"/>
        </w:rPr>
        <w:t>Muthen</w:t>
      </w:r>
      <w:proofErr w:type="spellEnd"/>
      <w:r w:rsidR="00D26C23" w:rsidRPr="00A44901">
        <w:rPr>
          <w:rFonts w:ascii="Times New Roman" w:hAnsi="Times New Roman" w:cs="Times New Roman"/>
          <w:sz w:val="24"/>
          <w:szCs w:val="24"/>
        </w:rPr>
        <w:t xml:space="preserve"> &amp; </w:t>
      </w:r>
      <w:proofErr w:type="spellStart"/>
      <w:r w:rsidR="00D26C23" w:rsidRPr="00A44901">
        <w:rPr>
          <w:rFonts w:ascii="Times New Roman" w:hAnsi="Times New Roman" w:cs="Times New Roman"/>
          <w:sz w:val="24"/>
          <w:szCs w:val="24"/>
        </w:rPr>
        <w:t>Muthén</w:t>
      </w:r>
      <w:proofErr w:type="spellEnd"/>
      <w:r w:rsidR="00D26C23" w:rsidRPr="00A44901">
        <w:rPr>
          <w:rFonts w:ascii="Times New Roman" w:hAnsi="Times New Roman" w:cs="Times New Roman"/>
          <w:sz w:val="24"/>
          <w:szCs w:val="24"/>
        </w:rPr>
        <w:t>, 2012)</w:t>
      </w:r>
      <w:r w:rsidR="00D26C23" w:rsidRPr="00A44901">
        <w:rPr>
          <w:rFonts w:ascii="Times New Roman" w:hAnsi="Times New Roman" w:cs="Times New Roman"/>
          <w:sz w:val="24"/>
          <w:szCs w:val="24"/>
        </w:rPr>
        <w:fldChar w:fldCharType="end"/>
      </w:r>
      <w:r w:rsidR="00D26C23" w:rsidRPr="00A44901">
        <w:rPr>
          <w:rFonts w:ascii="Times New Roman" w:hAnsi="Times New Roman" w:cs="Times New Roman"/>
          <w:sz w:val="24"/>
          <w:szCs w:val="24"/>
        </w:rPr>
        <w:t>.</w:t>
      </w:r>
    </w:p>
    <w:p w14:paraId="01FBC6CA" w14:textId="77777777" w:rsidR="00706F70" w:rsidRPr="00FF7CC5" w:rsidRDefault="00706F70" w:rsidP="00564124">
      <w:pPr>
        <w:spacing w:after="0" w:line="240" w:lineRule="auto"/>
        <w:rPr>
          <w:rFonts w:ascii="Times New Roman" w:hAnsi="Times New Roman" w:cs="Times New Roman"/>
          <w:b/>
          <w:sz w:val="24"/>
          <w:szCs w:val="24"/>
        </w:rPr>
      </w:pPr>
    </w:p>
    <w:p w14:paraId="3305DA92" w14:textId="77777777" w:rsidR="00706F70" w:rsidRPr="00FF7CC5" w:rsidRDefault="00706F70" w:rsidP="00564124">
      <w:pPr>
        <w:spacing w:after="0" w:line="240" w:lineRule="auto"/>
        <w:rPr>
          <w:rFonts w:ascii="Times New Roman" w:hAnsi="Times New Roman" w:cs="Times New Roman"/>
          <w:sz w:val="24"/>
          <w:szCs w:val="24"/>
        </w:rPr>
      </w:pPr>
      <w:r w:rsidRPr="00FF7CC5">
        <w:rPr>
          <w:rFonts w:ascii="Times New Roman" w:hAnsi="Times New Roman" w:cs="Times New Roman"/>
          <w:b/>
          <w:sz w:val="24"/>
          <w:szCs w:val="24"/>
        </w:rPr>
        <w:t>Model Fit</w:t>
      </w:r>
    </w:p>
    <w:p w14:paraId="029EECCF" w14:textId="2F9B49DE" w:rsidR="00B6446D" w:rsidRPr="00FF7CC5" w:rsidRDefault="00706F70" w:rsidP="00706F70">
      <w:pPr>
        <w:spacing w:after="0" w:line="240" w:lineRule="auto"/>
        <w:ind w:firstLine="720"/>
        <w:rPr>
          <w:rFonts w:ascii="Times New Roman" w:hAnsi="Times New Roman" w:cs="Times New Roman"/>
          <w:b/>
          <w:sz w:val="24"/>
          <w:szCs w:val="24"/>
        </w:rPr>
      </w:pPr>
      <w:r w:rsidRPr="00FF7CC5">
        <w:rPr>
          <w:rFonts w:ascii="Times New Roman" w:hAnsi="Times New Roman" w:cs="Times New Roman"/>
          <w:sz w:val="24"/>
          <w:szCs w:val="24"/>
        </w:rPr>
        <w:t xml:space="preserve">We assessed model fit for each of the three models of interest based on model fit criteria outlined by Hu and </w:t>
      </w:r>
      <w:proofErr w:type="spellStart"/>
      <w:r w:rsidRPr="00FF7CC5">
        <w:rPr>
          <w:rFonts w:ascii="Times New Roman" w:hAnsi="Times New Roman" w:cs="Times New Roman"/>
          <w:sz w:val="24"/>
          <w:szCs w:val="24"/>
        </w:rPr>
        <w:t>Bentler</w:t>
      </w:r>
      <w:proofErr w:type="spellEnd"/>
      <w:r w:rsidRPr="00FF7CC5">
        <w:rPr>
          <w:rFonts w:ascii="Times New Roman" w:hAnsi="Times New Roman" w:cs="Times New Roman"/>
          <w:sz w:val="24"/>
          <w:szCs w:val="24"/>
        </w:rPr>
        <w:t xml:space="preserve"> </w:t>
      </w:r>
      <w:r w:rsidRPr="00FF7CC5">
        <w:rPr>
          <w:rFonts w:ascii="Times New Roman" w:hAnsi="Times New Roman" w:cs="Times New Roman"/>
          <w:sz w:val="24"/>
          <w:szCs w:val="24"/>
        </w:rPr>
        <w:fldChar w:fldCharType="begin"/>
      </w:r>
      <w:r w:rsidR="00D26C23">
        <w:rPr>
          <w:rFonts w:ascii="Times New Roman" w:hAnsi="Times New Roman" w:cs="Times New Roman"/>
          <w:sz w:val="24"/>
          <w:szCs w:val="24"/>
        </w:rPr>
        <w:instrText xml:space="preserve"> ADDIN ZOTERO_ITEM CSL_CITATION {"citationID":"yMCsaBzr","properties":{"formattedCitation":"(1999)","plainCitation":"(1999)","noteIndex":0},"citationItems":[{"id":3028,"uris":["http://zotero.org/users/5240537/items/3ZXI6VA5"],"itemData":{"id":3028,"type":"article-journal","container-title":"Structural Equation Modeling: A Multidisciplinary Journal","DOI":"10.1080/10705519909540118","ISSN":"1070-5511, 1532-8007","issue":"1","journalAbbreviation":"Structural Equation Modeling: A Multidisciplinary Journal","language":"en","page":"1-55","source":"DOI.org (Crossref)","title":"Cutoff criteria for fit indexes in covariance structure analysis: Conventional criteria versus new alternatives","title-short":"Cutoff criteria for fit indexes in covariance structure analysis","URL":"http://www.tandfonline.com/doi/abs/10.1080/10705519909540118","volume":"6","author":[{"family":"Hu","given":"Li‐tze"},{"family":"Bentler","given":"Peter M."}],"accessed":{"date-parts":[["2019",10,23]]},"issued":{"date-parts":[["1999",1]]}},"suppress-author":true}],"schema":"https://github.com/citation-style-language/schema/raw/master/csl-citation.json"} </w:instrText>
      </w:r>
      <w:r w:rsidRPr="00FF7CC5">
        <w:rPr>
          <w:rFonts w:ascii="Times New Roman" w:hAnsi="Times New Roman" w:cs="Times New Roman"/>
          <w:sz w:val="24"/>
          <w:szCs w:val="24"/>
        </w:rPr>
        <w:fldChar w:fldCharType="separate"/>
      </w:r>
      <w:r w:rsidR="00014071" w:rsidRPr="00FF7CC5">
        <w:rPr>
          <w:rFonts w:ascii="Times New Roman" w:hAnsi="Times New Roman" w:cs="Times New Roman"/>
          <w:sz w:val="24"/>
        </w:rPr>
        <w:t>(1999)</w:t>
      </w:r>
      <w:r w:rsidRPr="00FF7CC5">
        <w:rPr>
          <w:rFonts w:ascii="Times New Roman" w:hAnsi="Times New Roman" w:cs="Times New Roman"/>
          <w:sz w:val="24"/>
          <w:szCs w:val="24"/>
        </w:rPr>
        <w:fldChar w:fldCharType="end"/>
      </w:r>
      <w:r w:rsidRPr="00FF7CC5">
        <w:rPr>
          <w:rFonts w:ascii="Times New Roman" w:hAnsi="Times New Roman" w:cs="Times New Roman"/>
          <w:sz w:val="24"/>
          <w:szCs w:val="24"/>
        </w:rPr>
        <w:t>. Good model fit was determined by a root mean squared error of approximation (RMSEA) &lt; .06, a comparative fit index (CFI) &gt; .95, and a standardized root mean square (SRMR) &lt; .08. We also assessed the chi square statistic, wherein a non-significant statistic indicates good fit of the model to the data. Finally, we report both Akaike and Bayesian Information Criteria (AIC and BIC, respectively) to compare fit across models. Shifts in AIC and BIC &gt; 10 are considered robust shifts in model fit, with lower values suggesting better fit.</w:t>
      </w:r>
    </w:p>
    <w:p w14:paraId="25EF7C8B" w14:textId="77777777" w:rsidR="004B7EB3" w:rsidRPr="00FF7CC5" w:rsidRDefault="004B7EB3">
      <w:pPr>
        <w:rPr>
          <w:rFonts w:ascii="Times New Roman" w:hAnsi="Times New Roman" w:cs="Times New Roman"/>
          <w:b/>
          <w:sz w:val="24"/>
          <w:szCs w:val="24"/>
        </w:rPr>
      </w:pPr>
      <w:r w:rsidRPr="00FF7CC5">
        <w:rPr>
          <w:rFonts w:ascii="Times New Roman" w:hAnsi="Times New Roman" w:cs="Times New Roman"/>
          <w:b/>
          <w:sz w:val="24"/>
          <w:szCs w:val="24"/>
        </w:rPr>
        <w:br w:type="page"/>
      </w:r>
    </w:p>
    <w:p w14:paraId="6F89B4F1" w14:textId="77777777" w:rsidR="00B6446D" w:rsidRPr="00FF7CC5" w:rsidRDefault="004B7EB3" w:rsidP="004B7EB3">
      <w:pPr>
        <w:spacing w:after="0" w:line="240" w:lineRule="auto"/>
        <w:jc w:val="center"/>
        <w:rPr>
          <w:rFonts w:ascii="Times New Roman" w:hAnsi="Times New Roman" w:cs="Times New Roman"/>
          <w:b/>
          <w:sz w:val="24"/>
          <w:szCs w:val="24"/>
        </w:rPr>
      </w:pPr>
      <w:r w:rsidRPr="00FF7CC5">
        <w:rPr>
          <w:rFonts w:ascii="Times New Roman" w:hAnsi="Times New Roman" w:cs="Times New Roman"/>
          <w:b/>
          <w:sz w:val="24"/>
          <w:szCs w:val="24"/>
        </w:rPr>
        <w:lastRenderedPageBreak/>
        <w:t xml:space="preserve">Supplemental </w:t>
      </w:r>
      <w:r w:rsidR="00B6446D" w:rsidRPr="00FF7CC5">
        <w:rPr>
          <w:rFonts w:ascii="Times New Roman" w:hAnsi="Times New Roman" w:cs="Times New Roman"/>
          <w:b/>
          <w:sz w:val="24"/>
          <w:szCs w:val="24"/>
        </w:rPr>
        <w:t>Results</w:t>
      </w:r>
    </w:p>
    <w:p w14:paraId="10EF673B" w14:textId="77777777" w:rsidR="004B7EB3" w:rsidRPr="00FF7CC5" w:rsidRDefault="004B7EB3" w:rsidP="004B7EB3">
      <w:pPr>
        <w:spacing w:after="0" w:line="240" w:lineRule="auto"/>
        <w:jc w:val="center"/>
        <w:rPr>
          <w:rFonts w:ascii="Times New Roman" w:hAnsi="Times New Roman" w:cs="Times New Roman"/>
          <w:b/>
          <w:sz w:val="24"/>
          <w:szCs w:val="24"/>
        </w:rPr>
      </w:pPr>
    </w:p>
    <w:p w14:paraId="4B5808A4" w14:textId="77777777" w:rsidR="00706F70" w:rsidRPr="00FF7CC5" w:rsidRDefault="00706F70" w:rsidP="00706F70">
      <w:pPr>
        <w:spacing w:after="0" w:line="240" w:lineRule="auto"/>
        <w:rPr>
          <w:rFonts w:ascii="Times New Roman" w:hAnsi="Times New Roman" w:cs="Times New Roman"/>
          <w:b/>
          <w:sz w:val="24"/>
          <w:szCs w:val="24"/>
        </w:rPr>
      </w:pPr>
      <w:r w:rsidRPr="00FF7CC5">
        <w:rPr>
          <w:rFonts w:ascii="Times New Roman" w:hAnsi="Times New Roman" w:cs="Times New Roman"/>
          <w:b/>
          <w:sz w:val="24"/>
          <w:szCs w:val="24"/>
        </w:rPr>
        <w:t>Exploratory Follow-Up Analysis</w:t>
      </w:r>
    </w:p>
    <w:p w14:paraId="0B505CFD" w14:textId="77777777" w:rsidR="00706F70" w:rsidRPr="00FF7CC5" w:rsidRDefault="00706F70" w:rsidP="00706F70">
      <w:pPr>
        <w:spacing w:after="0" w:line="240" w:lineRule="auto"/>
        <w:rPr>
          <w:rFonts w:ascii="Times New Roman" w:hAnsi="Times New Roman" w:cs="Times New Roman"/>
          <w:sz w:val="24"/>
          <w:szCs w:val="24"/>
        </w:rPr>
      </w:pPr>
      <w:r w:rsidRPr="00FF7CC5">
        <w:rPr>
          <w:rFonts w:ascii="Times New Roman" w:hAnsi="Times New Roman" w:cs="Times New Roman"/>
          <w:sz w:val="24"/>
          <w:szCs w:val="24"/>
        </w:rPr>
        <w:tab/>
        <w:t xml:space="preserve">As stated in the main text, we did not detect any significant differences in perceived positive affect before versus after local lockdowns began, though there appeared to be significant </w:t>
      </w:r>
    </w:p>
    <w:p w14:paraId="250C0E7C" w14:textId="77777777" w:rsidR="00706F70" w:rsidRPr="00FF7CC5" w:rsidRDefault="00706F70" w:rsidP="00706F70">
      <w:pPr>
        <w:spacing w:after="0" w:line="240" w:lineRule="auto"/>
        <w:rPr>
          <w:rFonts w:ascii="Times New Roman" w:hAnsi="Times New Roman" w:cs="Times New Roman"/>
          <w:sz w:val="24"/>
          <w:szCs w:val="24"/>
        </w:rPr>
      </w:pPr>
      <w:r w:rsidRPr="00FF7CC5">
        <w:rPr>
          <w:rFonts w:ascii="Times New Roman" w:hAnsi="Times New Roman" w:cs="Times New Roman"/>
          <w:sz w:val="24"/>
          <w:szCs w:val="24"/>
        </w:rPr>
        <w:t xml:space="preserve">variability in the sample. This variability may have been the result of differences in perceived stress or level of concern about the pandemic in general. In other words, youth who were less </w:t>
      </w:r>
    </w:p>
    <w:p w14:paraId="5A9463D7" w14:textId="77777777" w:rsidR="00706F70" w:rsidRPr="00FF7CC5" w:rsidRDefault="00706F70" w:rsidP="00706F70">
      <w:pPr>
        <w:spacing w:after="0" w:line="240" w:lineRule="auto"/>
        <w:rPr>
          <w:rFonts w:ascii="Times New Roman" w:hAnsi="Times New Roman" w:cs="Times New Roman"/>
          <w:sz w:val="24"/>
          <w:szCs w:val="24"/>
        </w:rPr>
      </w:pPr>
      <w:r w:rsidRPr="00FF7CC5">
        <w:rPr>
          <w:rFonts w:ascii="Times New Roman" w:hAnsi="Times New Roman" w:cs="Times New Roman"/>
          <w:sz w:val="24"/>
          <w:szCs w:val="24"/>
        </w:rPr>
        <w:t xml:space="preserve">concerned about the pandemic may have been less likely to note significant changes in affect during the pandemic. Thus, we created a dichotomous grouping of “high concern” versus “low concern” based on responses to the CASPE questionnaire. Youth who responded to one or more items on the CASPE with a score of at least 4 (4 = </w:t>
      </w:r>
      <w:r w:rsidRPr="00FF7CC5">
        <w:rPr>
          <w:rFonts w:ascii="Times New Roman" w:hAnsi="Times New Roman" w:cs="Times New Roman"/>
          <w:i/>
          <w:sz w:val="24"/>
          <w:szCs w:val="24"/>
        </w:rPr>
        <w:t>a lot</w:t>
      </w:r>
      <w:r w:rsidRPr="00FF7CC5">
        <w:rPr>
          <w:rFonts w:ascii="Times New Roman" w:hAnsi="Times New Roman" w:cs="Times New Roman"/>
          <w:sz w:val="24"/>
          <w:szCs w:val="24"/>
        </w:rPr>
        <w:t xml:space="preserve">; 5 = </w:t>
      </w:r>
      <w:r w:rsidRPr="00FF7CC5">
        <w:rPr>
          <w:rFonts w:ascii="Times New Roman" w:hAnsi="Times New Roman" w:cs="Times New Roman"/>
          <w:i/>
          <w:sz w:val="24"/>
          <w:szCs w:val="24"/>
        </w:rPr>
        <w:t>a great deal</w:t>
      </w:r>
      <w:r w:rsidRPr="00FF7CC5">
        <w:rPr>
          <w:rFonts w:ascii="Times New Roman" w:hAnsi="Times New Roman" w:cs="Times New Roman"/>
          <w:sz w:val="24"/>
          <w:szCs w:val="24"/>
        </w:rPr>
        <w:t>) comprised the “high concern” group (</w:t>
      </w:r>
      <w:r w:rsidRPr="00FF7CC5">
        <w:rPr>
          <w:rFonts w:ascii="Times New Roman" w:hAnsi="Times New Roman" w:cs="Times New Roman"/>
          <w:i/>
          <w:sz w:val="24"/>
          <w:szCs w:val="24"/>
        </w:rPr>
        <w:t>n</w:t>
      </w:r>
      <w:r w:rsidRPr="00FF7CC5">
        <w:rPr>
          <w:rFonts w:ascii="Times New Roman" w:hAnsi="Times New Roman" w:cs="Times New Roman"/>
          <w:sz w:val="24"/>
          <w:szCs w:val="24"/>
        </w:rPr>
        <w:t xml:space="preserve"> = 16), and the rest of youth were in the “low concern” group (</w:t>
      </w:r>
      <w:r w:rsidRPr="00FF7CC5">
        <w:rPr>
          <w:rFonts w:ascii="Times New Roman" w:hAnsi="Times New Roman" w:cs="Times New Roman"/>
          <w:i/>
          <w:sz w:val="24"/>
          <w:szCs w:val="24"/>
        </w:rPr>
        <w:t>n</w:t>
      </w:r>
      <w:r w:rsidRPr="00FF7CC5">
        <w:rPr>
          <w:rFonts w:ascii="Times New Roman" w:hAnsi="Times New Roman" w:cs="Times New Roman"/>
          <w:sz w:val="24"/>
          <w:szCs w:val="24"/>
        </w:rPr>
        <w:t xml:space="preserve"> = 28). Using extracted latent change scores for positive and negative affect and for HCC, we ran three separate hierarchical regressions to determine whether those changes were related to level of concern about pandemic-related stressors. The first level of the model included control variables of age and sex. The second level of the regression included our </w:t>
      </w:r>
      <w:proofErr w:type="gramStart"/>
      <w:r w:rsidRPr="00FF7CC5">
        <w:rPr>
          <w:rFonts w:ascii="Times New Roman" w:hAnsi="Times New Roman" w:cs="Times New Roman"/>
          <w:sz w:val="24"/>
          <w:szCs w:val="24"/>
        </w:rPr>
        <w:t>newly-created</w:t>
      </w:r>
      <w:proofErr w:type="gramEnd"/>
      <w:r w:rsidRPr="00FF7CC5">
        <w:rPr>
          <w:rFonts w:ascii="Times New Roman" w:hAnsi="Times New Roman" w:cs="Times New Roman"/>
          <w:sz w:val="24"/>
          <w:szCs w:val="24"/>
        </w:rPr>
        <w:t xml:space="preserve"> dichotomous grouping variable of low- versus high-concern (coded 0 = </w:t>
      </w:r>
      <w:r w:rsidRPr="00FF7CC5">
        <w:rPr>
          <w:rFonts w:ascii="Times New Roman" w:hAnsi="Times New Roman" w:cs="Times New Roman"/>
          <w:i/>
          <w:sz w:val="24"/>
          <w:szCs w:val="24"/>
        </w:rPr>
        <w:t>low</w:t>
      </w:r>
      <w:r w:rsidRPr="00FF7CC5">
        <w:rPr>
          <w:rFonts w:ascii="Times New Roman" w:hAnsi="Times New Roman" w:cs="Times New Roman"/>
          <w:sz w:val="24"/>
          <w:szCs w:val="24"/>
        </w:rPr>
        <w:t xml:space="preserve">, 1 = </w:t>
      </w:r>
      <w:r w:rsidRPr="00FF7CC5">
        <w:rPr>
          <w:rFonts w:ascii="Times New Roman" w:hAnsi="Times New Roman" w:cs="Times New Roman"/>
          <w:i/>
          <w:sz w:val="24"/>
          <w:szCs w:val="24"/>
        </w:rPr>
        <w:t>high</w:t>
      </w:r>
      <w:r w:rsidRPr="00FF7CC5">
        <w:rPr>
          <w:rFonts w:ascii="Times New Roman" w:hAnsi="Times New Roman" w:cs="Times New Roman"/>
          <w:sz w:val="24"/>
          <w:szCs w:val="24"/>
        </w:rPr>
        <w:t xml:space="preserve">). For completeness, we included a third level with the total number of stressors endorsed in the CASPE as a predictor variable. This allowed us to determine whether the </w:t>
      </w:r>
      <w:r w:rsidRPr="00FF7CC5">
        <w:rPr>
          <w:rFonts w:ascii="Times New Roman" w:hAnsi="Times New Roman" w:cs="Times New Roman"/>
          <w:i/>
          <w:sz w:val="24"/>
          <w:szCs w:val="24"/>
        </w:rPr>
        <w:t>severity</w:t>
      </w:r>
      <w:r w:rsidRPr="00FF7CC5">
        <w:rPr>
          <w:rFonts w:ascii="Times New Roman" w:hAnsi="Times New Roman" w:cs="Times New Roman"/>
          <w:sz w:val="24"/>
          <w:szCs w:val="24"/>
        </w:rPr>
        <w:t xml:space="preserve"> or the </w:t>
      </w:r>
      <w:r w:rsidRPr="00FF7CC5">
        <w:rPr>
          <w:rFonts w:ascii="Times New Roman" w:hAnsi="Times New Roman" w:cs="Times New Roman"/>
          <w:i/>
          <w:sz w:val="24"/>
          <w:szCs w:val="24"/>
        </w:rPr>
        <w:t>quantity</w:t>
      </w:r>
      <w:r w:rsidRPr="00FF7CC5">
        <w:rPr>
          <w:rFonts w:ascii="Times New Roman" w:hAnsi="Times New Roman" w:cs="Times New Roman"/>
          <w:sz w:val="24"/>
          <w:szCs w:val="24"/>
        </w:rPr>
        <w:t xml:space="preserve"> of stressors may play a more significant role in changes in HCC and affect. We conservatively controlled for type I error inflation using a Bonferroni correction for the three regressions (α = .017).</w:t>
      </w:r>
    </w:p>
    <w:p w14:paraId="09C7232C" w14:textId="77777777" w:rsidR="00706F70" w:rsidRPr="00FF7CC5" w:rsidRDefault="00706F70" w:rsidP="00706F70">
      <w:pPr>
        <w:spacing w:after="0" w:line="240" w:lineRule="auto"/>
        <w:rPr>
          <w:rFonts w:ascii="Times New Roman" w:hAnsi="Times New Roman" w:cs="Times New Roman"/>
          <w:sz w:val="24"/>
          <w:szCs w:val="24"/>
        </w:rPr>
      </w:pPr>
      <w:r w:rsidRPr="00FF7CC5">
        <w:rPr>
          <w:rFonts w:ascii="Times New Roman" w:hAnsi="Times New Roman" w:cs="Times New Roman"/>
          <w:sz w:val="24"/>
          <w:szCs w:val="24"/>
        </w:rPr>
        <w:tab/>
        <w:t>For the model of changes in positive affect, adding the grouping variable of low- versus high-concern significantly improved model fit (Δ</w:t>
      </w:r>
      <w:r w:rsidRPr="00FF7CC5">
        <w:rPr>
          <w:rFonts w:ascii="Times New Roman" w:hAnsi="Times New Roman" w:cs="Times New Roman"/>
          <w:i/>
          <w:sz w:val="24"/>
          <w:szCs w:val="24"/>
        </w:rPr>
        <w:t>R</w:t>
      </w:r>
      <w:r w:rsidRPr="00FF7CC5">
        <w:rPr>
          <w:rFonts w:ascii="Times New Roman" w:hAnsi="Times New Roman" w:cs="Times New Roman"/>
          <w:sz w:val="24"/>
          <w:szCs w:val="24"/>
          <w:vertAlign w:val="superscript"/>
        </w:rPr>
        <w:t>2</w:t>
      </w:r>
      <w:r w:rsidRPr="00FF7CC5">
        <w:rPr>
          <w:rFonts w:ascii="Times New Roman" w:hAnsi="Times New Roman" w:cs="Times New Roman"/>
          <w:sz w:val="24"/>
          <w:szCs w:val="24"/>
        </w:rPr>
        <w:t xml:space="preserve"> = .14, </w:t>
      </w:r>
      <w:r w:rsidRPr="00FF7CC5">
        <w:rPr>
          <w:rFonts w:ascii="Times New Roman" w:hAnsi="Times New Roman" w:cs="Times New Roman"/>
          <w:i/>
          <w:sz w:val="24"/>
          <w:szCs w:val="24"/>
        </w:rPr>
        <w:t>p</w:t>
      </w:r>
      <w:r w:rsidRPr="00FF7CC5">
        <w:rPr>
          <w:rFonts w:ascii="Times New Roman" w:hAnsi="Times New Roman" w:cs="Times New Roman"/>
          <w:sz w:val="24"/>
          <w:szCs w:val="24"/>
        </w:rPr>
        <w:t xml:space="preserve"> = .006), but adding in the total number of stressors endorsed did not (Δ</w:t>
      </w:r>
      <w:r w:rsidRPr="00FF7CC5">
        <w:rPr>
          <w:rFonts w:ascii="Times New Roman" w:hAnsi="Times New Roman" w:cs="Times New Roman"/>
          <w:i/>
          <w:sz w:val="24"/>
          <w:szCs w:val="24"/>
        </w:rPr>
        <w:t>R</w:t>
      </w:r>
      <w:r w:rsidRPr="00FF7CC5">
        <w:rPr>
          <w:rFonts w:ascii="Times New Roman" w:hAnsi="Times New Roman" w:cs="Times New Roman"/>
          <w:sz w:val="24"/>
          <w:szCs w:val="24"/>
          <w:vertAlign w:val="superscript"/>
        </w:rPr>
        <w:t>2</w:t>
      </w:r>
      <w:r w:rsidRPr="00FF7CC5">
        <w:rPr>
          <w:rFonts w:ascii="Times New Roman" w:hAnsi="Times New Roman" w:cs="Times New Roman"/>
          <w:sz w:val="24"/>
          <w:szCs w:val="24"/>
        </w:rPr>
        <w:t xml:space="preserve"> = .00, </w:t>
      </w:r>
      <w:r w:rsidRPr="00FF7CC5">
        <w:rPr>
          <w:rFonts w:ascii="Times New Roman" w:hAnsi="Times New Roman" w:cs="Times New Roman"/>
          <w:i/>
          <w:sz w:val="24"/>
          <w:szCs w:val="24"/>
        </w:rPr>
        <w:t>p</w:t>
      </w:r>
      <w:r w:rsidRPr="00FF7CC5">
        <w:rPr>
          <w:rFonts w:ascii="Times New Roman" w:hAnsi="Times New Roman" w:cs="Times New Roman"/>
          <w:sz w:val="24"/>
          <w:szCs w:val="24"/>
        </w:rPr>
        <w:t xml:space="preserve"> = .98). Thus, the best fitting model included age, sex, and low- versus high-concern group (</w:t>
      </w:r>
      <w:r w:rsidRPr="00FF7CC5">
        <w:rPr>
          <w:rFonts w:ascii="Times New Roman" w:hAnsi="Times New Roman" w:cs="Times New Roman"/>
          <w:i/>
          <w:sz w:val="24"/>
          <w:szCs w:val="24"/>
        </w:rPr>
        <w:t>R</w:t>
      </w:r>
      <w:r w:rsidRPr="00FF7CC5">
        <w:rPr>
          <w:rFonts w:ascii="Times New Roman" w:hAnsi="Times New Roman" w:cs="Times New Roman"/>
          <w:sz w:val="24"/>
          <w:szCs w:val="24"/>
          <w:vertAlign w:val="superscript"/>
        </w:rPr>
        <w:t>2</w:t>
      </w:r>
      <w:r w:rsidRPr="00FF7CC5">
        <w:rPr>
          <w:rFonts w:ascii="Times New Roman" w:hAnsi="Times New Roman" w:cs="Times New Roman"/>
          <w:sz w:val="24"/>
          <w:szCs w:val="24"/>
        </w:rPr>
        <w:t xml:space="preserve"> = .29, </w:t>
      </w:r>
      <w:r w:rsidRPr="00FF7CC5">
        <w:rPr>
          <w:rFonts w:ascii="Times New Roman" w:hAnsi="Times New Roman" w:cs="Times New Roman"/>
          <w:i/>
          <w:sz w:val="24"/>
          <w:szCs w:val="24"/>
        </w:rPr>
        <w:t>F</w:t>
      </w:r>
      <w:r w:rsidRPr="00FF7CC5">
        <w:rPr>
          <w:rFonts w:ascii="Times New Roman" w:hAnsi="Times New Roman" w:cs="Times New Roman"/>
          <w:sz w:val="24"/>
          <w:szCs w:val="24"/>
        </w:rPr>
        <w:t>(3, 40) = 6.85,</w:t>
      </w:r>
      <w:r w:rsidRPr="00FF7CC5">
        <w:rPr>
          <w:rFonts w:ascii="Times New Roman" w:hAnsi="Times New Roman" w:cs="Times New Roman"/>
          <w:i/>
          <w:sz w:val="24"/>
          <w:szCs w:val="24"/>
        </w:rPr>
        <w:t xml:space="preserve"> p</w:t>
      </w:r>
      <w:r w:rsidRPr="00FF7CC5">
        <w:rPr>
          <w:rFonts w:ascii="Times New Roman" w:hAnsi="Times New Roman" w:cs="Times New Roman"/>
          <w:sz w:val="24"/>
          <w:szCs w:val="24"/>
        </w:rPr>
        <w:t xml:space="preserve"> = .001). Only the concern group variable significantly predicted changes in positive affect in the present model given our conservatively corrected α-level. Youth who were grouped as </w:t>
      </w:r>
      <w:proofErr w:type="gramStart"/>
      <w:r w:rsidRPr="00FF7CC5">
        <w:rPr>
          <w:rFonts w:ascii="Times New Roman" w:hAnsi="Times New Roman" w:cs="Times New Roman"/>
          <w:sz w:val="24"/>
          <w:szCs w:val="24"/>
        </w:rPr>
        <w:t>high-concern</w:t>
      </w:r>
      <w:proofErr w:type="gramEnd"/>
      <w:r w:rsidRPr="00FF7CC5">
        <w:rPr>
          <w:rFonts w:ascii="Times New Roman" w:hAnsi="Times New Roman" w:cs="Times New Roman"/>
          <w:sz w:val="24"/>
          <w:szCs w:val="24"/>
        </w:rPr>
        <w:t xml:space="preserve"> tended to report significant decreases in positive affect (β = -.39, </w:t>
      </w:r>
      <w:r w:rsidRPr="00FF7CC5">
        <w:rPr>
          <w:rFonts w:ascii="Times New Roman" w:hAnsi="Times New Roman" w:cs="Times New Roman"/>
          <w:i/>
          <w:sz w:val="24"/>
          <w:szCs w:val="24"/>
        </w:rPr>
        <w:t>p</w:t>
      </w:r>
      <w:r w:rsidRPr="00FF7CC5">
        <w:rPr>
          <w:rFonts w:ascii="Times New Roman" w:hAnsi="Times New Roman" w:cs="Times New Roman"/>
          <w:sz w:val="24"/>
          <w:szCs w:val="24"/>
        </w:rPr>
        <w:t xml:space="preserve"> = .006). Similarly, the model of changes in negative affect was significantly improved by adding in the concern grouping variable (Δ</w:t>
      </w:r>
      <w:r w:rsidRPr="00FF7CC5">
        <w:rPr>
          <w:rFonts w:ascii="Times New Roman" w:hAnsi="Times New Roman" w:cs="Times New Roman"/>
          <w:i/>
          <w:sz w:val="24"/>
          <w:szCs w:val="24"/>
        </w:rPr>
        <w:t>R</w:t>
      </w:r>
      <w:r w:rsidRPr="00FF7CC5">
        <w:rPr>
          <w:rFonts w:ascii="Times New Roman" w:hAnsi="Times New Roman" w:cs="Times New Roman"/>
          <w:sz w:val="24"/>
          <w:szCs w:val="24"/>
          <w:vertAlign w:val="superscript"/>
        </w:rPr>
        <w:t>2</w:t>
      </w:r>
      <w:r w:rsidRPr="00FF7CC5">
        <w:rPr>
          <w:rFonts w:ascii="Times New Roman" w:hAnsi="Times New Roman" w:cs="Times New Roman"/>
          <w:sz w:val="24"/>
          <w:szCs w:val="24"/>
        </w:rPr>
        <w:t xml:space="preserve"> = .14, </w:t>
      </w:r>
      <w:r w:rsidRPr="00FF7CC5">
        <w:rPr>
          <w:rFonts w:ascii="Times New Roman" w:hAnsi="Times New Roman" w:cs="Times New Roman"/>
          <w:i/>
          <w:sz w:val="24"/>
          <w:szCs w:val="24"/>
        </w:rPr>
        <w:t>p</w:t>
      </w:r>
      <w:r w:rsidRPr="00FF7CC5">
        <w:rPr>
          <w:rFonts w:ascii="Times New Roman" w:hAnsi="Times New Roman" w:cs="Times New Roman"/>
          <w:sz w:val="24"/>
          <w:szCs w:val="24"/>
        </w:rPr>
        <w:t xml:space="preserve"> = .006), but not the total number of stressors (Δ</w:t>
      </w:r>
      <w:r w:rsidRPr="00FF7CC5">
        <w:rPr>
          <w:rFonts w:ascii="Times New Roman" w:hAnsi="Times New Roman" w:cs="Times New Roman"/>
          <w:i/>
          <w:sz w:val="24"/>
          <w:szCs w:val="24"/>
        </w:rPr>
        <w:t>R</w:t>
      </w:r>
      <w:r w:rsidRPr="00FF7CC5">
        <w:rPr>
          <w:rFonts w:ascii="Times New Roman" w:hAnsi="Times New Roman" w:cs="Times New Roman"/>
          <w:sz w:val="24"/>
          <w:szCs w:val="24"/>
          <w:vertAlign w:val="superscript"/>
        </w:rPr>
        <w:t>2</w:t>
      </w:r>
      <w:r w:rsidRPr="00FF7CC5">
        <w:rPr>
          <w:rFonts w:ascii="Times New Roman" w:hAnsi="Times New Roman" w:cs="Times New Roman"/>
          <w:sz w:val="24"/>
          <w:szCs w:val="24"/>
        </w:rPr>
        <w:t xml:space="preserve"> = .00, </w:t>
      </w:r>
      <w:r w:rsidRPr="00FF7CC5">
        <w:rPr>
          <w:rFonts w:ascii="Times New Roman" w:hAnsi="Times New Roman" w:cs="Times New Roman"/>
          <w:i/>
          <w:sz w:val="24"/>
          <w:szCs w:val="24"/>
        </w:rPr>
        <w:t>p</w:t>
      </w:r>
      <w:r w:rsidRPr="00FF7CC5">
        <w:rPr>
          <w:rFonts w:ascii="Times New Roman" w:hAnsi="Times New Roman" w:cs="Times New Roman"/>
          <w:sz w:val="24"/>
          <w:szCs w:val="24"/>
        </w:rPr>
        <w:t xml:space="preserve"> = .94). The best fitting model included age, sex, and concern group (</w:t>
      </w:r>
      <w:r w:rsidRPr="00FF7CC5">
        <w:rPr>
          <w:rFonts w:ascii="Times New Roman" w:hAnsi="Times New Roman" w:cs="Times New Roman"/>
          <w:i/>
          <w:sz w:val="24"/>
          <w:szCs w:val="24"/>
        </w:rPr>
        <w:t>R</w:t>
      </w:r>
      <w:r w:rsidRPr="00FF7CC5">
        <w:rPr>
          <w:rFonts w:ascii="Times New Roman" w:hAnsi="Times New Roman" w:cs="Times New Roman"/>
          <w:sz w:val="24"/>
          <w:szCs w:val="24"/>
          <w:vertAlign w:val="superscript"/>
        </w:rPr>
        <w:t>2</w:t>
      </w:r>
      <w:r w:rsidRPr="00FF7CC5">
        <w:rPr>
          <w:rFonts w:ascii="Times New Roman" w:hAnsi="Times New Roman" w:cs="Times New Roman"/>
          <w:sz w:val="24"/>
          <w:szCs w:val="24"/>
        </w:rPr>
        <w:t xml:space="preserve"> = .32 </w:t>
      </w:r>
      <w:r w:rsidRPr="00FF7CC5">
        <w:rPr>
          <w:rFonts w:ascii="Times New Roman" w:hAnsi="Times New Roman" w:cs="Times New Roman"/>
          <w:i/>
          <w:sz w:val="24"/>
          <w:szCs w:val="24"/>
        </w:rPr>
        <w:t>F</w:t>
      </w:r>
      <w:r w:rsidRPr="00FF7CC5">
        <w:rPr>
          <w:rFonts w:ascii="Times New Roman" w:hAnsi="Times New Roman" w:cs="Times New Roman"/>
          <w:sz w:val="24"/>
          <w:szCs w:val="24"/>
        </w:rPr>
        <w:t>(3, 40) = 6.13,</w:t>
      </w:r>
      <w:r w:rsidRPr="00FF7CC5">
        <w:rPr>
          <w:rFonts w:ascii="Times New Roman" w:hAnsi="Times New Roman" w:cs="Times New Roman"/>
          <w:i/>
          <w:sz w:val="24"/>
          <w:szCs w:val="24"/>
        </w:rPr>
        <w:t xml:space="preserve"> p</w:t>
      </w:r>
      <w:r w:rsidRPr="00FF7CC5">
        <w:rPr>
          <w:rFonts w:ascii="Times New Roman" w:hAnsi="Times New Roman" w:cs="Times New Roman"/>
          <w:sz w:val="24"/>
          <w:szCs w:val="24"/>
        </w:rPr>
        <w:t xml:space="preserve"> = .002). Again, only concern group was a significant predictor of changes in affect given our conservative threshold, with those labeled as high concern showing significant increases in negative affect from pre- to post-lockdown periods (β = .39, </w:t>
      </w:r>
      <w:r w:rsidRPr="00FF7CC5">
        <w:rPr>
          <w:rFonts w:ascii="Times New Roman" w:hAnsi="Times New Roman" w:cs="Times New Roman"/>
          <w:i/>
          <w:sz w:val="24"/>
          <w:szCs w:val="24"/>
        </w:rPr>
        <w:t>p</w:t>
      </w:r>
      <w:r w:rsidRPr="00FF7CC5">
        <w:rPr>
          <w:rFonts w:ascii="Times New Roman" w:hAnsi="Times New Roman" w:cs="Times New Roman"/>
          <w:sz w:val="24"/>
          <w:szCs w:val="24"/>
        </w:rPr>
        <w:t xml:space="preserve"> = .006). Finally, the model of changes in HCC showed no significant effects, and none of the models were significant (overall model </w:t>
      </w:r>
      <w:r w:rsidRPr="00FF7CC5">
        <w:rPr>
          <w:rFonts w:ascii="Times New Roman" w:hAnsi="Times New Roman" w:cs="Times New Roman"/>
          <w:i/>
          <w:sz w:val="24"/>
          <w:szCs w:val="24"/>
        </w:rPr>
        <w:t>p</w:t>
      </w:r>
      <w:r w:rsidRPr="00FF7CC5">
        <w:rPr>
          <w:rFonts w:ascii="Times New Roman" w:hAnsi="Times New Roman" w:cs="Times New Roman"/>
          <w:sz w:val="24"/>
          <w:szCs w:val="24"/>
        </w:rPr>
        <w:t>’s = .16 to .28).</w:t>
      </w:r>
    </w:p>
    <w:p w14:paraId="379D1053" w14:textId="77777777" w:rsidR="00564124" w:rsidRPr="00FF7CC5" w:rsidRDefault="00564124" w:rsidP="004B7EB3">
      <w:pPr>
        <w:spacing w:after="0" w:line="240" w:lineRule="auto"/>
        <w:rPr>
          <w:rFonts w:ascii="Times New Roman" w:hAnsi="Times New Roman" w:cs="Times New Roman"/>
          <w:sz w:val="24"/>
          <w:szCs w:val="24"/>
        </w:rPr>
      </w:pPr>
    </w:p>
    <w:p w14:paraId="1F88029E" w14:textId="77777777" w:rsidR="00AD0BB6" w:rsidRPr="00FF7CC5" w:rsidRDefault="00AD0BB6" w:rsidP="00AD0BB6">
      <w:pPr>
        <w:spacing w:after="0" w:line="240" w:lineRule="auto"/>
        <w:jc w:val="center"/>
        <w:rPr>
          <w:rFonts w:ascii="Times New Roman" w:hAnsi="Times New Roman" w:cs="Times New Roman"/>
          <w:b/>
          <w:sz w:val="24"/>
          <w:szCs w:val="24"/>
        </w:rPr>
      </w:pPr>
    </w:p>
    <w:p w14:paraId="3FD91F4C" w14:textId="77777777" w:rsidR="004B7EB3" w:rsidRPr="00FF7CC5" w:rsidRDefault="004B7EB3">
      <w:pPr>
        <w:rPr>
          <w:rFonts w:ascii="Times New Roman" w:hAnsi="Times New Roman" w:cs="Times New Roman"/>
          <w:sz w:val="24"/>
          <w:szCs w:val="24"/>
        </w:rPr>
      </w:pPr>
      <w:r w:rsidRPr="00FF7CC5">
        <w:rPr>
          <w:rFonts w:ascii="Times New Roman" w:hAnsi="Times New Roman" w:cs="Times New Roman"/>
          <w:sz w:val="24"/>
          <w:szCs w:val="24"/>
        </w:rPr>
        <w:br w:type="page"/>
      </w:r>
    </w:p>
    <w:p w14:paraId="07926D6C" w14:textId="77777777" w:rsidR="00964932" w:rsidRPr="00FF7CC5" w:rsidRDefault="00964932" w:rsidP="00964932">
      <w:pPr>
        <w:spacing w:after="0" w:line="240" w:lineRule="auto"/>
        <w:jc w:val="center"/>
        <w:rPr>
          <w:rFonts w:ascii="Times New Roman" w:hAnsi="Times New Roman" w:cs="Times New Roman"/>
          <w:sz w:val="24"/>
          <w:szCs w:val="24"/>
        </w:rPr>
      </w:pPr>
      <w:r w:rsidRPr="00FF7CC5">
        <w:rPr>
          <w:rFonts w:ascii="Times New Roman" w:hAnsi="Times New Roman" w:cs="Times New Roman"/>
          <w:noProof/>
          <w:sz w:val="24"/>
          <w:szCs w:val="24"/>
        </w:rPr>
        <w:lastRenderedPageBreak/>
        <w:drawing>
          <wp:inline distT="0" distB="0" distL="0" distR="0" wp14:anchorId="0A4ABEAC" wp14:editId="708192D7">
            <wp:extent cx="4394474" cy="2596551"/>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3953" cy="2613969"/>
                    </a:xfrm>
                    <a:prstGeom prst="rect">
                      <a:avLst/>
                    </a:prstGeom>
                    <a:noFill/>
                  </pic:spPr>
                </pic:pic>
              </a:graphicData>
            </a:graphic>
          </wp:inline>
        </w:drawing>
      </w:r>
    </w:p>
    <w:p w14:paraId="177C6E4D" w14:textId="77777777" w:rsidR="00964932" w:rsidRPr="00FF7CC5" w:rsidRDefault="00964932" w:rsidP="00964932">
      <w:pPr>
        <w:spacing w:after="0" w:line="240" w:lineRule="auto"/>
        <w:jc w:val="both"/>
        <w:rPr>
          <w:rFonts w:ascii="Times New Roman" w:hAnsi="Times New Roman" w:cs="Times New Roman"/>
          <w:szCs w:val="24"/>
        </w:rPr>
      </w:pPr>
      <w:r w:rsidRPr="00FF7CC5">
        <w:rPr>
          <w:rFonts w:ascii="Times New Roman" w:hAnsi="Times New Roman" w:cs="Times New Roman"/>
          <w:b/>
          <w:i/>
          <w:szCs w:val="24"/>
        </w:rPr>
        <w:t>Figure S1.</w:t>
      </w:r>
      <w:r w:rsidRPr="00FF7CC5">
        <w:rPr>
          <w:rFonts w:ascii="Times New Roman" w:hAnsi="Times New Roman" w:cs="Times New Roman"/>
          <w:szCs w:val="24"/>
        </w:rPr>
        <w:t xml:space="preserve"> </w:t>
      </w:r>
      <w:r w:rsidRPr="00FF7CC5">
        <w:rPr>
          <w:rFonts w:ascii="Times New Roman" w:hAnsi="Times New Roman" w:cs="Times New Roman"/>
          <w:b/>
          <w:szCs w:val="24"/>
        </w:rPr>
        <w:t xml:space="preserve">Box plots of pre- and post-lockdown measures </w:t>
      </w:r>
      <w:r w:rsidRPr="00FF7CC5">
        <w:rPr>
          <w:rFonts w:ascii="Times New Roman" w:hAnsi="Times New Roman" w:cs="Times New Roman"/>
          <w:szCs w:val="24"/>
        </w:rPr>
        <w:t xml:space="preserve"> </w:t>
      </w:r>
    </w:p>
    <w:p w14:paraId="1BA03DF1" w14:textId="0AC6C5D8" w:rsidR="00C474A1" w:rsidRPr="00FF7CC5" w:rsidRDefault="00964932" w:rsidP="00964932">
      <w:pPr>
        <w:spacing w:after="0" w:line="240" w:lineRule="auto"/>
        <w:jc w:val="both"/>
        <w:rPr>
          <w:rFonts w:ascii="Times New Roman" w:hAnsi="Times New Roman" w:cs="Times New Roman"/>
          <w:szCs w:val="24"/>
        </w:rPr>
      </w:pPr>
      <w:r w:rsidRPr="00FF7CC5">
        <w:rPr>
          <w:rFonts w:ascii="Times New Roman" w:hAnsi="Times New Roman" w:cs="Times New Roman"/>
          <w:szCs w:val="24"/>
        </w:rPr>
        <w:t xml:space="preserve">Box plots showing the distribution of pre- and post-lockdown measures of hair cortisol concentrations (yellow), negative affect (blue), and positive affect (red). Significant differences between pre- and post-lockdown measures are noted by brackets above the boxplots. Note: * </w:t>
      </w:r>
      <w:r w:rsidRPr="00FF7CC5">
        <w:rPr>
          <w:rFonts w:ascii="Times New Roman" w:hAnsi="Times New Roman" w:cs="Times New Roman"/>
          <w:i/>
          <w:szCs w:val="24"/>
        </w:rPr>
        <w:t>p</w:t>
      </w:r>
      <w:r w:rsidRPr="00FF7CC5">
        <w:rPr>
          <w:rFonts w:ascii="Times New Roman" w:hAnsi="Times New Roman" w:cs="Times New Roman"/>
          <w:szCs w:val="24"/>
        </w:rPr>
        <w:t xml:space="preserve"> &lt; .05, **, </w:t>
      </w:r>
      <w:r w:rsidRPr="00FF7CC5">
        <w:rPr>
          <w:rFonts w:ascii="Times New Roman" w:hAnsi="Times New Roman" w:cs="Times New Roman"/>
          <w:i/>
          <w:szCs w:val="24"/>
        </w:rPr>
        <w:t>p</w:t>
      </w:r>
      <w:r w:rsidRPr="00FF7CC5">
        <w:rPr>
          <w:rFonts w:ascii="Times New Roman" w:hAnsi="Times New Roman" w:cs="Times New Roman"/>
          <w:szCs w:val="24"/>
        </w:rPr>
        <w:t xml:space="preserve"> &lt; .01</w:t>
      </w:r>
    </w:p>
    <w:p w14:paraId="06A0ACFD" w14:textId="77777777" w:rsidR="00C474A1" w:rsidRPr="00FF7CC5" w:rsidRDefault="00C474A1">
      <w:pPr>
        <w:rPr>
          <w:rFonts w:ascii="Times New Roman" w:hAnsi="Times New Roman" w:cs="Times New Roman"/>
          <w:szCs w:val="24"/>
        </w:rPr>
      </w:pPr>
      <w:r w:rsidRPr="00FF7CC5">
        <w:rPr>
          <w:rFonts w:ascii="Times New Roman" w:hAnsi="Times New Roman" w:cs="Times New Roman"/>
          <w:szCs w:val="24"/>
        </w:rPr>
        <w:br w:type="page"/>
      </w:r>
    </w:p>
    <w:p w14:paraId="698906CD" w14:textId="24BA1520" w:rsidR="00C474A1" w:rsidRPr="00FF7CC5" w:rsidRDefault="00C474A1" w:rsidP="00C474A1">
      <w:pPr>
        <w:spacing w:after="0" w:line="480" w:lineRule="auto"/>
        <w:jc w:val="center"/>
        <w:rPr>
          <w:rFonts w:ascii="Times New Roman" w:hAnsi="Times New Roman" w:cs="Times New Roman"/>
          <w:sz w:val="24"/>
          <w:szCs w:val="24"/>
        </w:rPr>
      </w:pPr>
      <w:r w:rsidRPr="00FF7CC5">
        <w:rPr>
          <w:rFonts w:ascii="Times New Roman" w:hAnsi="Times New Roman" w:cs="Times New Roman"/>
          <w:noProof/>
          <w:sz w:val="24"/>
          <w:szCs w:val="24"/>
        </w:rPr>
        <w:lastRenderedPageBreak/>
        <w:drawing>
          <wp:inline distT="0" distB="0" distL="0" distR="0" wp14:anchorId="2364EAC7" wp14:editId="29125AD7">
            <wp:extent cx="4800600" cy="37671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3767149"/>
                    </a:xfrm>
                    <a:prstGeom prst="rect">
                      <a:avLst/>
                    </a:prstGeom>
                    <a:noFill/>
                  </pic:spPr>
                </pic:pic>
              </a:graphicData>
            </a:graphic>
          </wp:inline>
        </w:drawing>
      </w:r>
    </w:p>
    <w:p w14:paraId="48D6D7B0" w14:textId="73349FA3" w:rsidR="00C474A1" w:rsidRPr="00FF7CC5" w:rsidRDefault="00C474A1" w:rsidP="00C474A1">
      <w:pPr>
        <w:spacing w:after="0" w:line="240" w:lineRule="auto"/>
        <w:jc w:val="both"/>
        <w:rPr>
          <w:rFonts w:ascii="Times New Roman" w:hAnsi="Times New Roman" w:cs="Times New Roman"/>
          <w:szCs w:val="24"/>
        </w:rPr>
      </w:pPr>
      <w:r w:rsidRPr="00FF7CC5">
        <w:rPr>
          <w:rFonts w:ascii="Times New Roman" w:hAnsi="Times New Roman" w:cs="Times New Roman"/>
          <w:b/>
          <w:i/>
          <w:szCs w:val="24"/>
        </w:rPr>
        <w:t>Figure S2.</w:t>
      </w:r>
      <w:r w:rsidRPr="00FF7CC5">
        <w:rPr>
          <w:rFonts w:ascii="Times New Roman" w:hAnsi="Times New Roman" w:cs="Times New Roman"/>
          <w:i/>
          <w:szCs w:val="24"/>
        </w:rPr>
        <w:t xml:space="preserve"> </w:t>
      </w:r>
      <w:r w:rsidRPr="00FF7CC5">
        <w:rPr>
          <w:rFonts w:ascii="Times New Roman" w:hAnsi="Times New Roman" w:cs="Times New Roman"/>
          <w:b/>
          <w:szCs w:val="24"/>
        </w:rPr>
        <w:t>Correlational model of HCC and affect</w:t>
      </w:r>
    </w:p>
    <w:p w14:paraId="751D6662" w14:textId="4EDC19FF" w:rsidR="00C474A1" w:rsidRPr="00FF7CC5" w:rsidRDefault="00C474A1" w:rsidP="00C474A1">
      <w:pPr>
        <w:spacing w:after="0" w:line="240" w:lineRule="auto"/>
        <w:jc w:val="both"/>
        <w:rPr>
          <w:rFonts w:ascii="Times New Roman" w:hAnsi="Times New Roman" w:cs="Times New Roman"/>
          <w:szCs w:val="24"/>
        </w:rPr>
      </w:pPr>
      <w:r w:rsidRPr="00FF7CC5">
        <w:rPr>
          <w:rFonts w:ascii="Times New Roman" w:hAnsi="Times New Roman" w:cs="Times New Roman"/>
          <w:szCs w:val="24"/>
        </w:rPr>
        <w:t xml:space="preserve">Results of the correlational model examining relationships between latent changes in hair cortisol concentrations, positive affect, and negative affect. Age and sex serve as control variables. Double-headed arrows show correlations, and single-headed arrows show directional predictive relationships. Dashed lines indicate non-statistically significant relationships, whereas solid lines show significant associations at the </w:t>
      </w:r>
      <w:r w:rsidRPr="00FF7CC5">
        <w:rPr>
          <w:rFonts w:ascii="Times New Roman" w:hAnsi="Times New Roman" w:cs="Times New Roman"/>
          <w:i/>
          <w:szCs w:val="24"/>
        </w:rPr>
        <w:t>p</w:t>
      </w:r>
      <w:r w:rsidRPr="00FF7CC5">
        <w:rPr>
          <w:rFonts w:ascii="Times New Roman" w:hAnsi="Times New Roman" w:cs="Times New Roman"/>
          <w:szCs w:val="24"/>
        </w:rPr>
        <w:t xml:space="preserve"> &lt; .05 level. All reported coefficients are standardized. Lines </w:t>
      </w:r>
      <w:r w:rsidR="009B571A" w:rsidRPr="00FF7CC5">
        <w:rPr>
          <w:rFonts w:ascii="Times New Roman" w:hAnsi="Times New Roman" w:cs="Times New Roman"/>
          <w:szCs w:val="24"/>
        </w:rPr>
        <w:t xml:space="preserve">in </w:t>
      </w:r>
      <w:r w:rsidR="009B571A" w:rsidRPr="00FF7CC5">
        <w:rPr>
          <w:rFonts w:ascii="Times New Roman" w:hAnsi="Times New Roman" w:cs="Times New Roman"/>
          <w:b/>
          <w:bCs/>
          <w:color w:val="E8B222"/>
          <w:szCs w:val="24"/>
        </w:rPr>
        <w:t>yellow</w:t>
      </w:r>
      <w:r w:rsidR="009B571A" w:rsidRPr="00FF7CC5">
        <w:rPr>
          <w:rFonts w:ascii="Times New Roman" w:hAnsi="Times New Roman" w:cs="Times New Roman"/>
          <w:szCs w:val="24"/>
        </w:rPr>
        <w:t xml:space="preserve"> are indicative of cortisol-specific associations/estimates in which cortisol is predicting another variable; lines in </w:t>
      </w:r>
      <w:r w:rsidR="009B571A" w:rsidRPr="00FF7CC5">
        <w:rPr>
          <w:rFonts w:ascii="Times New Roman" w:hAnsi="Times New Roman" w:cs="Times New Roman"/>
          <w:b/>
          <w:bCs/>
          <w:color w:val="C00000"/>
          <w:szCs w:val="24"/>
        </w:rPr>
        <w:t>red</w:t>
      </w:r>
      <w:r w:rsidR="009B571A" w:rsidRPr="00FF7CC5">
        <w:rPr>
          <w:rFonts w:ascii="Times New Roman" w:hAnsi="Times New Roman" w:cs="Times New Roman"/>
          <w:color w:val="C00000"/>
          <w:szCs w:val="24"/>
        </w:rPr>
        <w:t xml:space="preserve"> </w:t>
      </w:r>
      <w:r w:rsidR="009B571A" w:rsidRPr="00FF7CC5">
        <w:rPr>
          <w:rFonts w:ascii="Times New Roman" w:hAnsi="Times New Roman" w:cs="Times New Roman"/>
          <w:szCs w:val="24"/>
        </w:rPr>
        <w:t xml:space="preserve">are indicative of positive affect-specific associations/estimates in which positive affect is predicting another variable; lines in </w:t>
      </w:r>
      <w:r w:rsidR="009B571A" w:rsidRPr="00FF7CC5">
        <w:rPr>
          <w:rFonts w:ascii="Times New Roman" w:hAnsi="Times New Roman" w:cs="Times New Roman"/>
          <w:b/>
          <w:bCs/>
          <w:color w:val="0070C0"/>
          <w:szCs w:val="24"/>
        </w:rPr>
        <w:t>blue</w:t>
      </w:r>
      <w:r w:rsidR="009B571A" w:rsidRPr="00FF7CC5">
        <w:rPr>
          <w:rFonts w:ascii="Times New Roman" w:hAnsi="Times New Roman" w:cs="Times New Roman"/>
          <w:color w:val="0070C0"/>
          <w:szCs w:val="24"/>
        </w:rPr>
        <w:t xml:space="preserve"> </w:t>
      </w:r>
      <w:r w:rsidR="009B571A" w:rsidRPr="00FF7CC5">
        <w:rPr>
          <w:rFonts w:ascii="Times New Roman" w:hAnsi="Times New Roman" w:cs="Times New Roman"/>
          <w:szCs w:val="24"/>
        </w:rPr>
        <w:t>are indicative of negative affect-specific associations/estimates in which negative affect is predicting another variable; secondary colors (</w:t>
      </w:r>
      <w:r w:rsidR="009B571A" w:rsidRPr="00FF7CC5">
        <w:rPr>
          <w:rFonts w:ascii="Times New Roman" w:hAnsi="Times New Roman" w:cs="Times New Roman"/>
          <w:b/>
          <w:bCs/>
          <w:color w:val="EB701D"/>
          <w:szCs w:val="24"/>
        </w:rPr>
        <w:t>orange</w:t>
      </w:r>
      <w:r w:rsidR="009B571A" w:rsidRPr="00FF7CC5">
        <w:rPr>
          <w:rFonts w:ascii="Times New Roman" w:hAnsi="Times New Roman" w:cs="Times New Roman"/>
          <w:szCs w:val="24"/>
        </w:rPr>
        <w:t xml:space="preserve">, </w:t>
      </w:r>
      <w:r w:rsidR="009B571A" w:rsidRPr="00FF7CC5">
        <w:rPr>
          <w:rFonts w:ascii="Times New Roman" w:hAnsi="Times New Roman" w:cs="Times New Roman"/>
          <w:b/>
          <w:bCs/>
          <w:color w:val="7030A0"/>
          <w:szCs w:val="24"/>
        </w:rPr>
        <w:t>purple</w:t>
      </w:r>
      <w:r w:rsidR="009B571A" w:rsidRPr="00FF7CC5">
        <w:rPr>
          <w:rFonts w:ascii="Times New Roman" w:hAnsi="Times New Roman" w:cs="Times New Roman"/>
          <w:color w:val="7030A0"/>
          <w:szCs w:val="24"/>
        </w:rPr>
        <w:t xml:space="preserve"> </w:t>
      </w:r>
      <w:r w:rsidR="009B571A" w:rsidRPr="00FF7CC5">
        <w:rPr>
          <w:rFonts w:ascii="Times New Roman" w:hAnsi="Times New Roman" w:cs="Times New Roman"/>
          <w:szCs w:val="24"/>
        </w:rPr>
        <w:t xml:space="preserve">and </w:t>
      </w:r>
      <w:r w:rsidR="009B571A" w:rsidRPr="00FF7CC5">
        <w:rPr>
          <w:rFonts w:ascii="Times New Roman" w:hAnsi="Times New Roman" w:cs="Times New Roman"/>
          <w:b/>
          <w:bCs/>
          <w:color w:val="00B050"/>
          <w:szCs w:val="24"/>
        </w:rPr>
        <w:t>green</w:t>
      </w:r>
      <w:r w:rsidR="009B571A" w:rsidRPr="00FF7CC5">
        <w:rPr>
          <w:rFonts w:ascii="Times New Roman" w:hAnsi="Times New Roman" w:cs="Times New Roman"/>
          <w:szCs w:val="24"/>
        </w:rPr>
        <w:t xml:space="preserve">) indicate associations that are non-directional (i.e., correlations); </w:t>
      </w:r>
      <w:r w:rsidR="009B571A" w:rsidRPr="00FF7CC5">
        <w:rPr>
          <w:rFonts w:ascii="Times New Roman" w:hAnsi="Times New Roman" w:cs="Times New Roman"/>
          <w:b/>
          <w:bCs/>
          <w:szCs w:val="24"/>
        </w:rPr>
        <w:t>thicker lines</w:t>
      </w:r>
      <w:r w:rsidR="009B571A" w:rsidRPr="00FF7CC5">
        <w:rPr>
          <w:rFonts w:ascii="Times New Roman" w:hAnsi="Times New Roman" w:cs="Times New Roman"/>
          <w:szCs w:val="24"/>
        </w:rPr>
        <w:t xml:space="preserve"> highlight the main parameters involved in hypothesis testing.</w:t>
      </w:r>
    </w:p>
    <w:p w14:paraId="3A7A8ED8" w14:textId="73335073" w:rsidR="00C474A1" w:rsidRPr="00FF7CC5" w:rsidRDefault="00C474A1">
      <w:pPr>
        <w:rPr>
          <w:rFonts w:ascii="Times New Roman" w:hAnsi="Times New Roman" w:cs="Times New Roman"/>
          <w:szCs w:val="24"/>
        </w:rPr>
      </w:pPr>
      <w:r w:rsidRPr="00FF7CC5">
        <w:rPr>
          <w:rFonts w:ascii="Times New Roman" w:hAnsi="Times New Roman" w:cs="Times New Roman"/>
          <w:szCs w:val="24"/>
        </w:rPr>
        <w:br w:type="page"/>
      </w:r>
    </w:p>
    <w:p w14:paraId="653CC430" w14:textId="5B80C970" w:rsidR="00C474A1" w:rsidRPr="00FF7CC5" w:rsidRDefault="00C474A1" w:rsidP="00C474A1">
      <w:pPr>
        <w:spacing w:after="0" w:line="480" w:lineRule="auto"/>
        <w:jc w:val="center"/>
        <w:rPr>
          <w:rFonts w:ascii="Times New Roman" w:hAnsi="Times New Roman" w:cs="Times New Roman"/>
          <w:sz w:val="24"/>
          <w:szCs w:val="24"/>
        </w:rPr>
      </w:pPr>
      <w:r w:rsidRPr="00FF7CC5">
        <w:rPr>
          <w:rFonts w:ascii="Times New Roman" w:hAnsi="Times New Roman" w:cs="Times New Roman"/>
          <w:noProof/>
          <w:sz w:val="24"/>
          <w:szCs w:val="24"/>
        </w:rPr>
        <w:lastRenderedPageBreak/>
        <w:drawing>
          <wp:inline distT="0" distB="0" distL="0" distR="0" wp14:anchorId="18C39CB3" wp14:editId="056DC31B">
            <wp:extent cx="4800600" cy="376714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3767149"/>
                    </a:xfrm>
                    <a:prstGeom prst="rect">
                      <a:avLst/>
                    </a:prstGeom>
                    <a:noFill/>
                  </pic:spPr>
                </pic:pic>
              </a:graphicData>
            </a:graphic>
          </wp:inline>
        </w:drawing>
      </w:r>
    </w:p>
    <w:p w14:paraId="673F5CF2" w14:textId="44DD288D" w:rsidR="00C474A1" w:rsidRPr="00FF7CC5" w:rsidRDefault="00C474A1" w:rsidP="00C474A1">
      <w:pPr>
        <w:spacing w:after="0" w:line="240" w:lineRule="auto"/>
        <w:jc w:val="both"/>
        <w:rPr>
          <w:rFonts w:ascii="Times New Roman" w:hAnsi="Times New Roman" w:cs="Times New Roman"/>
          <w:b/>
          <w:szCs w:val="24"/>
        </w:rPr>
      </w:pPr>
      <w:r w:rsidRPr="00FF7CC5">
        <w:rPr>
          <w:rFonts w:ascii="Times New Roman" w:hAnsi="Times New Roman" w:cs="Times New Roman"/>
          <w:b/>
          <w:i/>
          <w:szCs w:val="24"/>
        </w:rPr>
        <w:t>Figure S3.</w:t>
      </w:r>
      <w:r w:rsidRPr="00FF7CC5">
        <w:rPr>
          <w:rFonts w:ascii="Times New Roman" w:hAnsi="Times New Roman" w:cs="Times New Roman"/>
          <w:i/>
          <w:szCs w:val="24"/>
        </w:rPr>
        <w:t xml:space="preserve"> </w:t>
      </w:r>
      <w:r w:rsidRPr="00FF7CC5">
        <w:rPr>
          <w:rFonts w:ascii="Times New Roman" w:hAnsi="Times New Roman" w:cs="Times New Roman"/>
          <w:b/>
          <w:szCs w:val="24"/>
        </w:rPr>
        <w:t>Predictive model wherein affect predicts cortisol</w:t>
      </w:r>
    </w:p>
    <w:p w14:paraId="04DDA541" w14:textId="7D10041C" w:rsidR="00C474A1" w:rsidRPr="00FF7CC5" w:rsidRDefault="00C474A1" w:rsidP="00C474A1">
      <w:pPr>
        <w:spacing w:after="0" w:line="240" w:lineRule="auto"/>
        <w:jc w:val="both"/>
        <w:rPr>
          <w:rFonts w:ascii="Times New Roman" w:hAnsi="Times New Roman" w:cs="Times New Roman"/>
          <w:szCs w:val="24"/>
        </w:rPr>
      </w:pPr>
      <w:r w:rsidRPr="00FF7CC5">
        <w:rPr>
          <w:rFonts w:ascii="Times New Roman" w:hAnsi="Times New Roman" w:cs="Times New Roman"/>
          <w:szCs w:val="24"/>
        </w:rPr>
        <w:t xml:space="preserve">Results of the model in which changes in positive and negative affect are predictors of changes in hair cortisol concentrations. Age and sex serve as control variables. Double-headed arrows show correlations, and single-headed arrows show directional predictive relationships. Dashed lines indicate non-statistically significant relationships, whereas solid lines show significant associations at the </w:t>
      </w:r>
      <w:r w:rsidRPr="00FF7CC5">
        <w:rPr>
          <w:rFonts w:ascii="Times New Roman" w:hAnsi="Times New Roman" w:cs="Times New Roman"/>
          <w:i/>
          <w:szCs w:val="24"/>
        </w:rPr>
        <w:t>p</w:t>
      </w:r>
      <w:r w:rsidRPr="00FF7CC5">
        <w:rPr>
          <w:rFonts w:ascii="Times New Roman" w:hAnsi="Times New Roman" w:cs="Times New Roman"/>
          <w:szCs w:val="24"/>
        </w:rPr>
        <w:t xml:space="preserve"> &lt; .05 level. All reported coefficients are standardized. Lines </w:t>
      </w:r>
      <w:r w:rsidR="009B571A" w:rsidRPr="00FF7CC5">
        <w:rPr>
          <w:rFonts w:ascii="Times New Roman" w:hAnsi="Times New Roman" w:cs="Times New Roman"/>
          <w:szCs w:val="24"/>
        </w:rPr>
        <w:t xml:space="preserve">in </w:t>
      </w:r>
      <w:r w:rsidR="009B571A" w:rsidRPr="00FF7CC5">
        <w:rPr>
          <w:rFonts w:ascii="Times New Roman" w:hAnsi="Times New Roman" w:cs="Times New Roman"/>
          <w:b/>
          <w:bCs/>
          <w:color w:val="E8B222"/>
          <w:szCs w:val="24"/>
        </w:rPr>
        <w:t>yellow</w:t>
      </w:r>
      <w:r w:rsidR="009B571A" w:rsidRPr="00FF7CC5">
        <w:rPr>
          <w:rFonts w:ascii="Times New Roman" w:hAnsi="Times New Roman" w:cs="Times New Roman"/>
          <w:szCs w:val="24"/>
        </w:rPr>
        <w:t xml:space="preserve"> are indicative of cortisol-specific associations/estimates in which cortisol is predicting another variable; lines in </w:t>
      </w:r>
      <w:r w:rsidR="009B571A" w:rsidRPr="00FF7CC5">
        <w:rPr>
          <w:rFonts w:ascii="Times New Roman" w:hAnsi="Times New Roman" w:cs="Times New Roman"/>
          <w:b/>
          <w:bCs/>
          <w:color w:val="C00000"/>
          <w:szCs w:val="24"/>
        </w:rPr>
        <w:t>red</w:t>
      </w:r>
      <w:r w:rsidR="009B571A" w:rsidRPr="00FF7CC5">
        <w:rPr>
          <w:rFonts w:ascii="Times New Roman" w:hAnsi="Times New Roman" w:cs="Times New Roman"/>
          <w:color w:val="C00000"/>
          <w:szCs w:val="24"/>
        </w:rPr>
        <w:t xml:space="preserve"> </w:t>
      </w:r>
      <w:r w:rsidR="009B571A" w:rsidRPr="00FF7CC5">
        <w:rPr>
          <w:rFonts w:ascii="Times New Roman" w:hAnsi="Times New Roman" w:cs="Times New Roman"/>
          <w:szCs w:val="24"/>
        </w:rPr>
        <w:t xml:space="preserve">are indicative of positive affect-specific associations/estimates in which positive affect is predicting another variable; lines in </w:t>
      </w:r>
      <w:r w:rsidR="009B571A" w:rsidRPr="00FF7CC5">
        <w:rPr>
          <w:rFonts w:ascii="Times New Roman" w:hAnsi="Times New Roman" w:cs="Times New Roman"/>
          <w:b/>
          <w:bCs/>
          <w:color w:val="0070C0"/>
          <w:szCs w:val="24"/>
        </w:rPr>
        <w:t>blue</w:t>
      </w:r>
      <w:r w:rsidR="009B571A" w:rsidRPr="00FF7CC5">
        <w:rPr>
          <w:rFonts w:ascii="Times New Roman" w:hAnsi="Times New Roman" w:cs="Times New Roman"/>
          <w:color w:val="0070C0"/>
          <w:szCs w:val="24"/>
        </w:rPr>
        <w:t xml:space="preserve"> </w:t>
      </w:r>
      <w:r w:rsidR="009B571A" w:rsidRPr="00FF7CC5">
        <w:rPr>
          <w:rFonts w:ascii="Times New Roman" w:hAnsi="Times New Roman" w:cs="Times New Roman"/>
          <w:szCs w:val="24"/>
        </w:rPr>
        <w:t>are indicative of negative affect-specific associations/estimates in which negative affect is predicting another variable; secondary colors (</w:t>
      </w:r>
      <w:r w:rsidR="009B571A" w:rsidRPr="00FF7CC5">
        <w:rPr>
          <w:rFonts w:ascii="Times New Roman" w:hAnsi="Times New Roman" w:cs="Times New Roman"/>
          <w:b/>
          <w:bCs/>
          <w:color w:val="EB701D"/>
          <w:szCs w:val="24"/>
        </w:rPr>
        <w:t>orange</w:t>
      </w:r>
      <w:r w:rsidR="009B571A" w:rsidRPr="00FF7CC5">
        <w:rPr>
          <w:rFonts w:ascii="Times New Roman" w:hAnsi="Times New Roman" w:cs="Times New Roman"/>
          <w:szCs w:val="24"/>
        </w:rPr>
        <w:t xml:space="preserve">, </w:t>
      </w:r>
      <w:r w:rsidR="009B571A" w:rsidRPr="00FF7CC5">
        <w:rPr>
          <w:rFonts w:ascii="Times New Roman" w:hAnsi="Times New Roman" w:cs="Times New Roman"/>
          <w:b/>
          <w:bCs/>
          <w:color w:val="7030A0"/>
          <w:szCs w:val="24"/>
        </w:rPr>
        <w:t>purple</w:t>
      </w:r>
      <w:r w:rsidR="009B571A" w:rsidRPr="00FF7CC5">
        <w:rPr>
          <w:rFonts w:ascii="Times New Roman" w:hAnsi="Times New Roman" w:cs="Times New Roman"/>
          <w:color w:val="7030A0"/>
          <w:szCs w:val="24"/>
        </w:rPr>
        <w:t xml:space="preserve"> </w:t>
      </w:r>
      <w:r w:rsidR="009B571A" w:rsidRPr="00FF7CC5">
        <w:rPr>
          <w:rFonts w:ascii="Times New Roman" w:hAnsi="Times New Roman" w:cs="Times New Roman"/>
          <w:szCs w:val="24"/>
        </w:rPr>
        <w:t xml:space="preserve">and </w:t>
      </w:r>
      <w:r w:rsidR="009B571A" w:rsidRPr="00FF7CC5">
        <w:rPr>
          <w:rFonts w:ascii="Times New Roman" w:hAnsi="Times New Roman" w:cs="Times New Roman"/>
          <w:b/>
          <w:bCs/>
          <w:color w:val="00B050"/>
          <w:szCs w:val="24"/>
        </w:rPr>
        <w:t>green</w:t>
      </w:r>
      <w:r w:rsidR="009B571A" w:rsidRPr="00FF7CC5">
        <w:rPr>
          <w:rFonts w:ascii="Times New Roman" w:hAnsi="Times New Roman" w:cs="Times New Roman"/>
          <w:szCs w:val="24"/>
        </w:rPr>
        <w:t xml:space="preserve">) indicate associations that are non-directional (i.e., correlations); </w:t>
      </w:r>
      <w:r w:rsidR="009B571A" w:rsidRPr="00FF7CC5">
        <w:rPr>
          <w:rFonts w:ascii="Times New Roman" w:hAnsi="Times New Roman" w:cs="Times New Roman"/>
          <w:b/>
          <w:bCs/>
          <w:szCs w:val="24"/>
        </w:rPr>
        <w:t>thicker lines</w:t>
      </w:r>
      <w:r w:rsidR="009B571A" w:rsidRPr="00FF7CC5">
        <w:rPr>
          <w:rFonts w:ascii="Times New Roman" w:hAnsi="Times New Roman" w:cs="Times New Roman"/>
          <w:szCs w:val="24"/>
        </w:rPr>
        <w:t xml:space="preserve"> highlight the main parameters involved in hypothesis testing.</w:t>
      </w:r>
    </w:p>
    <w:p w14:paraId="12A23B59" w14:textId="11AB3FB6" w:rsidR="00C474A1" w:rsidRPr="00FF7CC5" w:rsidRDefault="00C474A1">
      <w:pPr>
        <w:rPr>
          <w:rFonts w:ascii="Times New Roman" w:hAnsi="Times New Roman" w:cs="Times New Roman"/>
          <w:szCs w:val="24"/>
        </w:rPr>
      </w:pPr>
      <w:r w:rsidRPr="00FF7CC5">
        <w:rPr>
          <w:rFonts w:ascii="Times New Roman" w:hAnsi="Times New Roman" w:cs="Times New Roman"/>
          <w:szCs w:val="24"/>
        </w:rPr>
        <w:br w:type="page"/>
      </w:r>
    </w:p>
    <w:p w14:paraId="351F3A42" w14:textId="35F8F24B" w:rsidR="00C474A1" w:rsidRPr="00FF7CC5" w:rsidRDefault="00C474A1" w:rsidP="00C474A1">
      <w:pPr>
        <w:spacing w:after="0" w:line="480" w:lineRule="auto"/>
        <w:jc w:val="center"/>
        <w:rPr>
          <w:rFonts w:ascii="Times New Roman" w:hAnsi="Times New Roman" w:cs="Times New Roman"/>
          <w:sz w:val="24"/>
          <w:szCs w:val="24"/>
        </w:rPr>
      </w:pPr>
      <w:r w:rsidRPr="00FF7CC5">
        <w:rPr>
          <w:rFonts w:ascii="Times New Roman" w:hAnsi="Times New Roman" w:cs="Times New Roman"/>
          <w:noProof/>
          <w:sz w:val="24"/>
          <w:szCs w:val="24"/>
        </w:rPr>
        <w:lastRenderedPageBreak/>
        <w:drawing>
          <wp:inline distT="0" distB="0" distL="0" distR="0" wp14:anchorId="3821C3DF" wp14:editId="03DC6B0C">
            <wp:extent cx="4800600" cy="376714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3767149"/>
                    </a:xfrm>
                    <a:prstGeom prst="rect">
                      <a:avLst/>
                    </a:prstGeom>
                    <a:noFill/>
                  </pic:spPr>
                </pic:pic>
              </a:graphicData>
            </a:graphic>
          </wp:inline>
        </w:drawing>
      </w:r>
    </w:p>
    <w:p w14:paraId="0A0ACDDF" w14:textId="73697845" w:rsidR="00C474A1" w:rsidRPr="00FF7CC5" w:rsidRDefault="00C474A1" w:rsidP="00C474A1">
      <w:pPr>
        <w:spacing w:after="0" w:line="240" w:lineRule="auto"/>
        <w:jc w:val="both"/>
        <w:rPr>
          <w:rFonts w:ascii="Times New Roman" w:hAnsi="Times New Roman" w:cs="Times New Roman"/>
          <w:b/>
          <w:szCs w:val="24"/>
        </w:rPr>
      </w:pPr>
      <w:r w:rsidRPr="00FF7CC5">
        <w:rPr>
          <w:rFonts w:ascii="Times New Roman" w:hAnsi="Times New Roman" w:cs="Times New Roman"/>
          <w:b/>
          <w:i/>
          <w:szCs w:val="24"/>
        </w:rPr>
        <w:t>Figure S4.</w:t>
      </w:r>
      <w:r w:rsidRPr="00FF7CC5">
        <w:rPr>
          <w:rFonts w:ascii="Times New Roman" w:hAnsi="Times New Roman" w:cs="Times New Roman"/>
          <w:i/>
          <w:szCs w:val="24"/>
        </w:rPr>
        <w:t xml:space="preserve"> </w:t>
      </w:r>
      <w:r w:rsidRPr="00FF7CC5">
        <w:rPr>
          <w:rFonts w:ascii="Times New Roman" w:hAnsi="Times New Roman" w:cs="Times New Roman"/>
          <w:b/>
          <w:szCs w:val="24"/>
        </w:rPr>
        <w:t>Predictive model wherein cortisol predicts affect</w:t>
      </w:r>
    </w:p>
    <w:p w14:paraId="5B8899F5" w14:textId="3EA962AA" w:rsidR="00C474A1" w:rsidRPr="00FF7CC5" w:rsidRDefault="00C474A1" w:rsidP="00C474A1">
      <w:pPr>
        <w:spacing w:after="0" w:line="240" w:lineRule="auto"/>
        <w:jc w:val="both"/>
        <w:rPr>
          <w:rFonts w:ascii="Times New Roman" w:hAnsi="Times New Roman" w:cs="Times New Roman"/>
          <w:szCs w:val="24"/>
        </w:rPr>
      </w:pPr>
      <w:r w:rsidRPr="00FF7CC5">
        <w:rPr>
          <w:rFonts w:ascii="Times New Roman" w:hAnsi="Times New Roman" w:cs="Times New Roman"/>
          <w:szCs w:val="24"/>
        </w:rPr>
        <w:t xml:space="preserve">Results of the model in which changes in hair cortisol concentrations predict changes in positive and negative affect. Age and sex serve as control variables. Double-headed arrows show correlations, and single-headed arrows show directional predictive relationships. Dashed lines indicate non-statistically significant relationships, whereas solid lines show significant associations at the </w:t>
      </w:r>
      <w:r w:rsidRPr="00FF7CC5">
        <w:rPr>
          <w:rFonts w:ascii="Times New Roman" w:hAnsi="Times New Roman" w:cs="Times New Roman"/>
          <w:i/>
          <w:szCs w:val="24"/>
        </w:rPr>
        <w:t>p</w:t>
      </w:r>
      <w:r w:rsidRPr="00FF7CC5">
        <w:rPr>
          <w:rFonts w:ascii="Times New Roman" w:hAnsi="Times New Roman" w:cs="Times New Roman"/>
          <w:szCs w:val="24"/>
        </w:rPr>
        <w:t xml:space="preserve"> &lt; .05 level. All reported coefficients are standardized. </w:t>
      </w:r>
      <w:r w:rsidR="009B571A" w:rsidRPr="00FF7CC5">
        <w:rPr>
          <w:rFonts w:ascii="Times New Roman" w:hAnsi="Times New Roman" w:cs="Times New Roman"/>
          <w:szCs w:val="24"/>
        </w:rPr>
        <w:t>L</w:t>
      </w:r>
      <w:r w:rsidRPr="00FF7CC5">
        <w:rPr>
          <w:rFonts w:ascii="Times New Roman" w:hAnsi="Times New Roman" w:cs="Times New Roman"/>
          <w:szCs w:val="24"/>
        </w:rPr>
        <w:t xml:space="preserve">ines </w:t>
      </w:r>
      <w:r w:rsidR="009B571A" w:rsidRPr="00FF7CC5">
        <w:rPr>
          <w:rFonts w:ascii="Times New Roman" w:hAnsi="Times New Roman" w:cs="Times New Roman"/>
          <w:szCs w:val="24"/>
        </w:rPr>
        <w:t xml:space="preserve">in </w:t>
      </w:r>
      <w:r w:rsidR="009B571A" w:rsidRPr="00FF7CC5">
        <w:rPr>
          <w:rFonts w:ascii="Times New Roman" w:hAnsi="Times New Roman" w:cs="Times New Roman"/>
          <w:b/>
          <w:bCs/>
          <w:color w:val="E8B222"/>
          <w:szCs w:val="24"/>
        </w:rPr>
        <w:t>yellow</w:t>
      </w:r>
      <w:r w:rsidR="009B571A" w:rsidRPr="00FF7CC5">
        <w:rPr>
          <w:rFonts w:ascii="Times New Roman" w:hAnsi="Times New Roman" w:cs="Times New Roman"/>
          <w:szCs w:val="24"/>
        </w:rPr>
        <w:t xml:space="preserve"> are indicative of cortisol-specific associations/estimates in which cortisol is predicting another variable; lines in </w:t>
      </w:r>
      <w:r w:rsidR="009B571A" w:rsidRPr="00FF7CC5">
        <w:rPr>
          <w:rFonts w:ascii="Times New Roman" w:hAnsi="Times New Roman" w:cs="Times New Roman"/>
          <w:b/>
          <w:bCs/>
          <w:color w:val="C00000"/>
          <w:szCs w:val="24"/>
        </w:rPr>
        <w:t>red</w:t>
      </w:r>
      <w:r w:rsidR="009B571A" w:rsidRPr="00FF7CC5">
        <w:rPr>
          <w:rFonts w:ascii="Times New Roman" w:hAnsi="Times New Roman" w:cs="Times New Roman"/>
          <w:color w:val="C00000"/>
          <w:szCs w:val="24"/>
        </w:rPr>
        <w:t xml:space="preserve"> </w:t>
      </w:r>
      <w:r w:rsidR="009B571A" w:rsidRPr="00FF7CC5">
        <w:rPr>
          <w:rFonts w:ascii="Times New Roman" w:hAnsi="Times New Roman" w:cs="Times New Roman"/>
          <w:szCs w:val="24"/>
        </w:rPr>
        <w:t xml:space="preserve">are indicative of positive affect-specific associations/estimates in which positive affect is predicting another variable; lines in </w:t>
      </w:r>
      <w:r w:rsidR="009B571A" w:rsidRPr="00FF7CC5">
        <w:rPr>
          <w:rFonts w:ascii="Times New Roman" w:hAnsi="Times New Roman" w:cs="Times New Roman"/>
          <w:b/>
          <w:bCs/>
          <w:color w:val="0070C0"/>
          <w:szCs w:val="24"/>
        </w:rPr>
        <w:t>blue</w:t>
      </w:r>
      <w:r w:rsidR="009B571A" w:rsidRPr="00FF7CC5">
        <w:rPr>
          <w:rFonts w:ascii="Times New Roman" w:hAnsi="Times New Roman" w:cs="Times New Roman"/>
          <w:color w:val="0070C0"/>
          <w:szCs w:val="24"/>
        </w:rPr>
        <w:t xml:space="preserve"> </w:t>
      </w:r>
      <w:r w:rsidR="009B571A" w:rsidRPr="00FF7CC5">
        <w:rPr>
          <w:rFonts w:ascii="Times New Roman" w:hAnsi="Times New Roman" w:cs="Times New Roman"/>
          <w:szCs w:val="24"/>
        </w:rPr>
        <w:t>are indicative of negative affect-specific associations/estimates in which negative affect is predicting another variable; secondary colors (</w:t>
      </w:r>
      <w:r w:rsidR="009B571A" w:rsidRPr="00FF7CC5">
        <w:rPr>
          <w:rFonts w:ascii="Times New Roman" w:hAnsi="Times New Roman" w:cs="Times New Roman"/>
          <w:b/>
          <w:bCs/>
          <w:color w:val="EB701D"/>
          <w:szCs w:val="24"/>
        </w:rPr>
        <w:t>orange</w:t>
      </w:r>
      <w:r w:rsidR="009B571A" w:rsidRPr="00FF7CC5">
        <w:rPr>
          <w:rFonts w:ascii="Times New Roman" w:hAnsi="Times New Roman" w:cs="Times New Roman"/>
          <w:szCs w:val="24"/>
        </w:rPr>
        <w:t xml:space="preserve">, </w:t>
      </w:r>
      <w:r w:rsidR="009B571A" w:rsidRPr="00FF7CC5">
        <w:rPr>
          <w:rFonts w:ascii="Times New Roman" w:hAnsi="Times New Roman" w:cs="Times New Roman"/>
          <w:b/>
          <w:bCs/>
          <w:color w:val="7030A0"/>
          <w:szCs w:val="24"/>
        </w:rPr>
        <w:t>purple</w:t>
      </w:r>
      <w:r w:rsidR="009B571A" w:rsidRPr="00FF7CC5">
        <w:rPr>
          <w:rFonts w:ascii="Times New Roman" w:hAnsi="Times New Roman" w:cs="Times New Roman"/>
          <w:color w:val="7030A0"/>
          <w:szCs w:val="24"/>
        </w:rPr>
        <w:t xml:space="preserve"> </w:t>
      </w:r>
      <w:r w:rsidR="009B571A" w:rsidRPr="00FF7CC5">
        <w:rPr>
          <w:rFonts w:ascii="Times New Roman" w:hAnsi="Times New Roman" w:cs="Times New Roman"/>
          <w:szCs w:val="24"/>
        </w:rPr>
        <w:t xml:space="preserve">and </w:t>
      </w:r>
      <w:r w:rsidR="009B571A" w:rsidRPr="00FF7CC5">
        <w:rPr>
          <w:rFonts w:ascii="Times New Roman" w:hAnsi="Times New Roman" w:cs="Times New Roman"/>
          <w:b/>
          <w:bCs/>
          <w:color w:val="00B050"/>
          <w:szCs w:val="24"/>
        </w:rPr>
        <w:t>green</w:t>
      </w:r>
      <w:r w:rsidR="009B571A" w:rsidRPr="00FF7CC5">
        <w:rPr>
          <w:rFonts w:ascii="Times New Roman" w:hAnsi="Times New Roman" w:cs="Times New Roman"/>
          <w:szCs w:val="24"/>
        </w:rPr>
        <w:t xml:space="preserve">) indicate associations that are non-directional (i.e., correlations); </w:t>
      </w:r>
      <w:r w:rsidR="009B571A" w:rsidRPr="00FF7CC5">
        <w:rPr>
          <w:rFonts w:ascii="Times New Roman" w:hAnsi="Times New Roman" w:cs="Times New Roman"/>
          <w:b/>
          <w:bCs/>
          <w:szCs w:val="24"/>
        </w:rPr>
        <w:t>thicker lines</w:t>
      </w:r>
      <w:r w:rsidR="009B571A" w:rsidRPr="00FF7CC5">
        <w:rPr>
          <w:rFonts w:ascii="Times New Roman" w:hAnsi="Times New Roman" w:cs="Times New Roman"/>
          <w:szCs w:val="24"/>
        </w:rPr>
        <w:t xml:space="preserve"> highlight the main parameters involved in hypothesis testing.</w:t>
      </w:r>
    </w:p>
    <w:p w14:paraId="71B7D97B" w14:textId="77777777" w:rsidR="00964932" w:rsidRPr="00FF7CC5" w:rsidRDefault="00964932" w:rsidP="00964932">
      <w:pPr>
        <w:spacing w:after="0" w:line="240" w:lineRule="auto"/>
        <w:jc w:val="both"/>
        <w:rPr>
          <w:rFonts w:ascii="Times New Roman" w:hAnsi="Times New Roman" w:cs="Times New Roman"/>
          <w:szCs w:val="24"/>
        </w:rPr>
      </w:pPr>
    </w:p>
    <w:p w14:paraId="6D750257" w14:textId="77777777" w:rsidR="00AD0BB6" w:rsidRPr="00FF7CC5" w:rsidRDefault="00AD0BB6" w:rsidP="00AD0BB6">
      <w:pPr>
        <w:spacing w:after="0" w:line="240" w:lineRule="auto"/>
        <w:jc w:val="both"/>
        <w:rPr>
          <w:rFonts w:ascii="Times New Roman" w:hAnsi="Times New Roman" w:cs="Times New Roman"/>
          <w:b/>
          <w:sz w:val="24"/>
          <w:szCs w:val="24"/>
        </w:rPr>
      </w:pPr>
    </w:p>
    <w:p w14:paraId="3CE7C1DC" w14:textId="77777777" w:rsidR="00964932" w:rsidRPr="00FF7CC5" w:rsidRDefault="00964932">
      <w:pPr>
        <w:rPr>
          <w:rFonts w:ascii="Times New Roman" w:hAnsi="Times New Roman" w:cs="Times New Roman"/>
          <w:b/>
          <w:sz w:val="24"/>
          <w:szCs w:val="24"/>
        </w:rPr>
      </w:pPr>
      <w:r w:rsidRPr="00FF7CC5">
        <w:rPr>
          <w:rFonts w:ascii="Times New Roman" w:hAnsi="Times New Roman" w:cs="Times New Roman"/>
          <w:b/>
          <w:sz w:val="24"/>
          <w:szCs w:val="24"/>
        </w:rPr>
        <w:br w:type="page"/>
      </w:r>
    </w:p>
    <w:p w14:paraId="40C25192" w14:textId="77777777" w:rsidR="005F4917" w:rsidRPr="00FF7CC5" w:rsidRDefault="005F4917" w:rsidP="005F4917">
      <w:pPr>
        <w:spacing w:after="0" w:line="240" w:lineRule="auto"/>
        <w:jc w:val="both"/>
        <w:rPr>
          <w:rFonts w:ascii="Times New Roman" w:hAnsi="Times New Roman" w:cs="Times New Roman"/>
          <w:sz w:val="24"/>
          <w:szCs w:val="24"/>
        </w:rPr>
      </w:pPr>
      <w:r w:rsidRPr="00FF7CC5">
        <w:rPr>
          <w:rFonts w:ascii="Times New Roman" w:hAnsi="Times New Roman" w:cs="Times New Roman"/>
          <w:b/>
          <w:sz w:val="24"/>
          <w:szCs w:val="24"/>
        </w:rPr>
        <w:lastRenderedPageBreak/>
        <w:t xml:space="preserve">Table S1. </w:t>
      </w:r>
      <w:r w:rsidRPr="00FF7CC5">
        <w:rPr>
          <w:rFonts w:ascii="Times New Roman" w:hAnsi="Times New Roman" w:cs="Times New Roman"/>
          <w:sz w:val="24"/>
          <w:szCs w:val="24"/>
        </w:rPr>
        <w:t>Demographic characteristics for the final sample included in analyses.</w:t>
      </w:r>
    </w:p>
    <w:p w14:paraId="79C0263A" w14:textId="77777777" w:rsidR="005F4917" w:rsidRPr="00FF7CC5" w:rsidRDefault="005F4917" w:rsidP="005F4917">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880"/>
        <w:gridCol w:w="1260"/>
        <w:gridCol w:w="675"/>
        <w:gridCol w:w="270"/>
        <w:gridCol w:w="1665"/>
      </w:tblGrid>
      <w:tr w:rsidR="005F4917" w:rsidRPr="00FF7CC5" w14:paraId="34B41C2E" w14:textId="77777777" w:rsidTr="009E1166">
        <w:tc>
          <w:tcPr>
            <w:tcW w:w="3415" w:type="dxa"/>
            <w:gridSpan w:val="2"/>
            <w:tcBorders>
              <w:bottom w:val="single" w:sz="4" w:space="0" w:color="auto"/>
            </w:tcBorders>
          </w:tcPr>
          <w:p w14:paraId="5B877741" w14:textId="77777777" w:rsidR="005F4917" w:rsidRPr="00FF7CC5" w:rsidRDefault="005F4917" w:rsidP="009E1166">
            <w:pPr>
              <w:rPr>
                <w:rFonts w:ascii="Times New Roman" w:hAnsi="Times New Roman" w:cs="Times New Roman"/>
                <w:b/>
                <w:sz w:val="24"/>
                <w:szCs w:val="24"/>
              </w:rPr>
            </w:pPr>
            <w:r w:rsidRPr="00FF7CC5">
              <w:rPr>
                <w:rFonts w:ascii="Times New Roman" w:hAnsi="Times New Roman" w:cs="Times New Roman"/>
                <w:b/>
                <w:sz w:val="24"/>
                <w:szCs w:val="24"/>
              </w:rPr>
              <w:t>Characteristic</w:t>
            </w:r>
          </w:p>
        </w:tc>
        <w:tc>
          <w:tcPr>
            <w:tcW w:w="1260" w:type="dxa"/>
            <w:tcBorders>
              <w:bottom w:val="single" w:sz="4" w:space="0" w:color="auto"/>
            </w:tcBorders>
          </w:tcPr>
          <w:p w14:paraId="76F6DFF0" w14:textId="77777777" w:rsidR="005F4917" w:rsidRPr="00FF7CC5" w:rsidRDefault="005F4917" w:rsidP="009E1166">
            <w:pPr>
              <w:jc w:val="center"/>
              <w:rPr>
                <w:rFonts w:ascii="Times New Roman" w:hAnsi="Times New Roman" w:cs="Times New Roman"/>
                <w:b/>
                <w:i/>
                <w:iCs/>
                <w:sz w:val="24"/>
                <w:szCs w:val="24"/>
              </w:rPr>
            </w:pPr>
            <w:r w:rsidRPr="00FF7CC5">
              <w:rPr>
                <w:rFonts w:ascii="Times New Roman" w:hAnsi="Times New Roman" w:cs="Times New Roman"/>
                <w:b/>
                <w:i/>
                <w:iCs/>
                <w:sz w:val="24"/>
                <w:szCs w:val="24"/>
              </w:rPr>
              <w:t>M</w:t>
            </w:r>
          </w:p>
        </w:tc>
        <w:tc>
          <w:tcPr>
            <w:tcW w:w="945" w:type="dxa"/>
            <w:gridSpan w:val="2"/>
            <w:tcBorders>
              <w:bottom w:val="single" w:sz="4" w:space="0" w:color="auto"/>
            </w:tcBorders>
          </w:tcPr>
          <w:p w14:paraId="77F9E688" w14:textId="77777777" w:rsidR="005F4917" w:rsidRPr="00FF7CC5" w:rsidRDefault="005F4917" w:rsidP="009E1166">
            <w:pPr>
              <w:jc w:val="center"/>
              <w:rPr>
                <w:rFonts w:ascii="Times New Roman" w:hAnsi="Times New Roman" w:cs="Times New Roman"/>
                <w:b/>
                <w:i/>
                <w:iCs/>
                <w:sz w:val="24"/>
                <w:szCs w:val="24"/>
              </w:rPr>
            </w:pPr>
            <w:r w:rsidRPr="00FF7CC5">
              <w:rPr>
                <w:rFonts w:ascii="Times New Roman" w:hAnsi="Times New Roman" w:cs="Times New Roman"/>
                <w:b/>
                <w:i/>
                <w:iCs/>
                <w:sz w:val="24"/>
                <w:szCs w:val="24"/>
              </w:rPr>
              <w:t>SD</w:t>
            </w:r>
          </w:p>
        </w:tc>
        <w:tc>
          <w:tcPr>
            <w:tcW w:w="1665" w:type="dxa"/>
            <w:tcBorders>
              <w:bottom w:val="single" w:sz="4" w:space="0" w:color="auto"/>
            </w:tcBorders>
          </w:tcPr>
          <w:p w14:paraId="490DE26C" w14:textId="77777777" w:rsidR="005F4917" w:rsidRPr="00FF7CC5" w:rsidRDefault="005F4917" w:rsidP="009E1166">
            <w:pPr>
              <w:jc w:val="center"/>
              <w:rPr>
                <w:rFonts w:ascii="Times New Roman" w:hAnsi="Times New Roman" w:cs="Times New Roman"/>
                <w:b/>
                <w:i/>
                <w:iCs/>
                <w:sz w:val="24"/>
                <w:szCs w:val="24"/>
              </w:rPr>
            </w:pPr>
            <w:r w:rsidRPr="00FF7CC5">
              <w:rPr>
                <w:rFonts w:ascii="Times New Roman" w:hAnsi="Times New Roman" w:cs="Times New Roman"/>
                <w:b/>
                <w:i/>
                <w:iCs/>
                <w:sz w:val="24"/>
                <w:szCs w:val="24"/>
              </w:rPr>
              <w:t>Range</w:t>
            </w:r>
          </w:p>
        </w:tc>
      </w:tr>
      <w:tr w:rsidR="005F4917" w:rsidRPr="00FF7CC5" w14:paraId="0552C019" w14:textId="77777777" w:rsidTr="009E1166">
        <w:tc>
          <w:tcPr>
            <w:tcW w:w="3415" w:type="dxa"/>
            <w:gridSpan w:val="2"/>
            <w:tcBorders>
              <w:top w:val="single" w:sz="4" w:space="0" w:color="auto"/>
            </w:tcBorders>
          </w:tcPr>
          <w:p w14:paraId="7CA9ED78" w14:textId="77777777" w:rsidR="005F4917" w:rsidRPr="00FF7CC5" w:rsidRDefault="005F4917" w:rsidP="009E1166">
            <w:pPr>
              <w:rPr>
                <w:rFonts w:ascii="Times New Roman" w:hAnsi="Times New Roman" w:cs="Times New Roman"/>
                <w:b/>
                <w:sz w:val="24"/>
                <w:szCs w:val="24"/>
              </w:rPr>
            </w:pPr>
            <w:r w:rsidRPr="00FF7CC5">
              <w:rPr>
                <w:rFonts w:ascii="Times New Roman" w:hAnsi="Times New Roman" w:cs="Times New Roman"/>
                <w:b/>
                <w:sz w:val="24"/>
                <w:szCs w:val="24"/>
              </w:rPr>
              <w:t xml:space="preserve">Age </w:t>
            </w:r>
            <w:r w:rsidRPr="00FF7CC5">
              <w:rPr>
                <w:rFonts w:ascii="Times New Roman" w:hAnsi="Times New Roman" w:cs="Times New Roman"/>
                <w:bCs/>
                <w:sz w:val="24"/>
                <w:szCs w:val="24"/>
              </w:rPr>
              <w:t>(years)</w:t>
            </w:r>
          </w:p>
        </w:tc>
        <w:tc>
          <w:tcPr>
            <w:tcW w:w="1260" w:type="dxa"/>
            <w:tcBorders>
              <w:top w:val="single" w:sz="4" w:space="0" w:color="auto"/>
            </w:tcBorders>
          </w:tcPr>
          <w:p w14:paraId="1E080FDA"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14.70</w:t>
            </w:r>
          </w:p>
        </w:tc>
        <w:tc>
          <w:tcPr>
            <w:tcW w:w="945" w:type="dxa"/>
            <w:gridSpan w:val="2"/>
            <w:tcBorders>
              <w:top w:val="single" w:sz="4" w:space="0" w:color="auto"/>
            </w:tcBorders>
          </w:tcPr>
          <w:p w14:paraId="3654F064"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2.04</w:t>
            </w:r>
          </w:p>
        </w:tc>
        <w:tc>
          <w:tcPr>
            <w:tcW w:w="1665" w:type="dxa"/>
            <w:tcBorders>
              <w:top w:val="single" w:sz="4" w:space="0" w:color="auto"/>
            </w:tcBorders>
          </w:tcPr>
          <w:p w14:paraId="73971021"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10.57 - 18.41</w:t>
            </w:r>
          </w:p>
        </w:tc>
      </w:tr>
      <w:tr w:rsidR="005F4917" w:rsidRPr="00FF7CC5" w14:paraId="1B553E5C" w14:textId="77777777" w:rsidTr="009E1166">
        <w:tc>
          <w:tcPr>
            <w:tcW w:w="3415" w:type="dxa"/>
            <w:gridSpan w:val="2"/>
          </w:tcPr>
          <w:p w14:paraId="52A0272B" w14:textId="77777777" w:rsidR="005F4917" w:rsidRPr="00FF7CC5" w:rsidRDefault="005F4917" w:rsidP="009E1166">
            <w:pPr>
              <w:rPr>
                <w:rFonts w:ascii="Times New Roman" w:hAnsi="Times New Roman" w:cs="Times New Roman"/>
                <w:b/>
                <w:sz w:val="24"/>
                <w:szCs w:val="24"/>
              </w:rPr>
            </w:pPr>
            <w:r w:rsidRPr="00FF7CC5">
              <w:rPr>
                <w:rFonts w:ascii="Times New Roman" w:hAnsi="Times New Roman" w:cs="Times New Roman"/>
                <w:b/>
                <w:sz w:val="24"/>
                <w:szCs w:val="24"/>
              </w:rPr>
              <w:t xml:space="preserve">SES </w:t>
            </w:r>
            <w:r w:rsidRPr="00FF7CC5">
              <w:rPr>
                <w:rFonts w:ascii="Times New Roman" w:hAnsi="Times New Roman" w:cs="Times New Roman"/>
                <w:bCs/>
                <w:sz w:val="24"/>
                <w:szCs w:val="24"/>
              </w:rPr>
              <w:t>(BSMSS total score)</w:t>
            </w:r>
          </w:p>
        </w:tc>
        <w:tc>
          <w:tcPr>
            <w:tcW w:w="1260" w:type="dxa"/>
          </w:tcPr>
          <w:p w14:paraId="650B7D47"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51.37</w:t>
            </w:r>
          </w:p>
        </w:tc>
        <w:tc>
          <w:tcPr>
            <w:tcW w:w="945" w:type="dxa"/>
            <w:gridSpan w:val="2"/>
          </w:tcPr>
          <w:p w14:paraId="04D1F2C6"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9.82</w:t>
            </w:r>
          </w:p>
        </w:tc>
        <w:tc>
          <w:tcPr>
            <w:tcW w:w="1665" w:type="dxa"/>
          </w:tcPr>
          <w:p w14:paraId="055B5194"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24.83 - 66.00</w:t>
            </w:r>
          </w:p>
        </w:tc>
      </w:tr>
      <w:tr w:rsidR="005F4917" w:rsidRPr="00FF7CC5" w14:paraId="483F843D" w14:textId="77777777" w:rsidTr="009E1166">
        <w:tc>
          <w:tcPr>
            <w:tcW w:w="3415" w:type="dxa"/>
            <w:gridSpan w:val="2"/>
          </w:tcPr>
          <w:p w14:paraId="30460D9D" w14:textId="77777777" w:rsidR="005F4917" w:rsidRPr="00FF7CC5" w:rsidRDefault="005F4917" w:rsidP="009E1166">
            <w:pPr>
              <w:rPr>
                <w:rFonts w:ascii="Times New Roman" w:hAnsi="Times New Roman" w:cs="Times New Roman"/>
                <w:b/>
                <w:sz w:val="24"/>
                <w:szCs w:val="24"/>
              </w:rPr>
            </w:pPr>
          </w:p>
        </w:tc>
        <w:tc>
          <w:tcPr>
            <w:tcW w:w="1260" w:type="dxa"/>
          </w:tcPr>
          <w:p w14:paraId="0A8510BD" w14:textId="77777777" w:rsidR="005F4917" w:rsidRPr="00FF7CC5" w:rsidRDefault="005F4917" w:rsidP="009E1166">
            <w:pPr>
              <w:jc w:val="center"/>
              <w:rPr>
                <w:rFonts w:ascii="Times New Roman" w:hAnsi="Times New Roman" w:cs="Times New Roman"/>
                <w:b/>
                <w:sz w:val="24"/>
                <w:szCs w:val="24"/>
              </w:rPr>
            </w:pPr>
          </w:p>
        </w:tc>
        <w:tc>
          <w:tcPr>
            <w:tcW w:w="945" w:type="dxa"/>
            <w:gridSpan w:val="2"/>
          </w:tcPr>
          <w:p w14:paraId="2DDFC7D3" w14:textId="77777777" w:rsidR="005F4917" w:rsidRPr="00FF7CC5" w:rsidRDefault="005F4917" w:rsidP="009E1166">
            <w:pPr>
              <w:jc w:val="center"/>
              <w:rPr>
                <w:rFonts w:ascii="Times New Roman" w:hAnsi="Times New Roman" w:cs="Times New Roman"/>
                <w:b/>
                <w:sz w:val="24"/>
                <w:szCs w:val="24"/>
              </w:rPr>
            </w:pPr>
          </w:p>
        </w:tc>
        <w:tc>
          <w:tcPr>
            <w:tcW w:w="1665" w:type="dxa"/>
          </w:tcPr>
          <w:p w14:paraId="7D01C716" w14:textId="77777777" w:rsidR="005F4917" w:rsidRPr="00FF7CC5" w:rsidRDefault="005F4917" w:rsidP="009E1166">
            <w:pPr>
              <w:jc w:val="center"/>
              <w:rPr>
                <w:rFonts w:ascii="Times New Roman" w:hAnsi="Times New Roman" w:cs="Times New Roman"/>
                <w:b/>
                <w:sz w:val="24"/>
                <w:szCs w:val="24"/>
              </w:rPr>
            </w:pPr>
          </w:p>
        </w:tc>
      </w:tr>
      <w:tr w:rsidR="005F4917" w:rsidRPr="00FF7CC5" w14:paraId="5AF7A491" w14:textId="77777777" w:rsidTr="009E1166">
        <w:tc>
          <w:tcPr>
            <w:tcW w:w="3415" w:type="dxa"/>
            <w:gridSpan w:val="2"/>
            <w:tcBorders>
              <w:bottom w:val="single" w:sz="4" w:space="0" w:color="auto"/>
            </w:tcBorders>
          </w:tcPr>
          <w:p w14:paraId="47C0EBB4" w14:textId="77777777" w:rsidR="005F4917" w:rsidRPr="00FF7CC5" w:rsidRDefault="005F4917" w:rsidP="009E1166">
            <w:pPr>
              <w:rPr>
                <w:rFonts w:ascii="Times New Roman" w:hAnsi="Times New Roman" w:cs="Times New Roman"/>
                <w:b/>
                <w:sz w:val="24"/>
                <w:szCs w:val="24"/>
              </w:rPr>
            </w:pPr>
          </w:p>
        </w:tc>
        <w:tc>
          <w:tcPr>
            <w:tcW w:w="1935" w:type="dxa"/>
            <w:gridSpan w:val="2"/>
            <w:tcBorders>
              <w:bottom w:val="single" w:sz="4" w:space="0" w:color="auto"/>
            </w:tcBorders>
          </w:tcPr>
          <w:p w14:paraId="4F1F4689" w14:textId="77777777" w:rsidR="005F4917" w:rsidRPr="00FF7CC5" w:rsidRDefault="005F4917" w:rsidP="009E1166">
            <w:pPr>
              <w:jc w:val="center"/>
              <w:rPr>
                <w:rFonts w:ascii="Times New Roman" w:hAnsi="Times New Roman" w:cs="Times New Roman"/>
                <w:b/>
                <w:i/>
                <w:iCs/>
                <w:sz w:val="24"/>
                <w:szCs w:val="24"/>
              </w:rPr>
            </w:pPr>
            <w:r w:rsidRPr="00FF7CC5">
              <w:rPr>
                <w:rFonts w:ascii="Times New Roman" w:hAnsi="Times New Roman" w:cs="Times New Roman"/>
                <w:b/>
                <w:i/>
                <w:iCs/>
                <w:sz w:val="24"/>
                <w:szCs w:val="24"/>
              </w:rPr>
              <w:t>N</w:t>
            </w:r>
          </w:p>
        </w:tc>
        <w:tc>
          <w:tcPr>
            <w:tcW w:w="1935" w:type="dxa"/>
            <w:gridSpan w:val="2"/>
            <w:tcBorders>
              <w:bottom w:val="single" w:sz="4" w:space="0" w:color="auto"/>
            </w:tcBorders>
          </w:tcPr>
          <w:p w14:paraId="7DE1D00E" w14:textId="77777777" w:rsidR="005F4917" w:rsidRPr="00FF7CC5" w:rsidRDefault="005F4917" w:rsidP="009E1166">
            <w:pPr>
              <w:jc w:val="center"/>
              <w:rPr>
                <w:rFonts w:ascii="Times New Roman" w:hAnsi="Times New Roman" w:cs="Times New Roman"/>
                <w:b/>
                <w:i/>
                <w:iCs/>
                <w:sz w:val="24"/>
                <w:szCs w:val="24"/>
              </w:rPr>
            </w:pPr>
            <w:r w:rsidRPr="00FF7CC5">
              <w:rPr>
                <w:rFonts w:ascii="Times New Roman" w:hAnsi="Times New Roman" w:cs="Times New Roman"/>
                <w:b/>
                <w:i/>
                <w:iCs/>
                <w:sz w:val="24"/>
                <w:szCs w:val="24"/>
              </w:rPr>
              <w:t>%</w:t>
            </w:r>
          </w:p>
        </w:tc>
      </w:tr>
      <w:tr w:rsidR="005F4917" w:rsidRPr="00FF7CC5" w14:paraId="264D49DE" w14:textId="77777777" w:rsidTr="009E1166">
        <w:trPr>
          <w:trHeight w:val="170"/>
        </w:trPr>
        <w:tc>
          <w:tcPr>
            <w:tcW w:w="3415" w:type="dxa"/>
            <w:gridSpan w:val="2"/>
            <w:tcBorders>
              <w:top w:val="single" w:sz="4" w:space="0" w:color="auto"/>
              <w:bottom w:val="single" w:sz="4" w:space="0" w:color="auto"/>
            </w:tcBorders>
          </w:tcPr>
          <w:p w14:paraId="697135B3" w14:textId="77777777" w:rsidR="005F4917" w:rsidRPr="00FF7CC5" w:rsidRDefault="005F4917" w:rsidP="009E1166">
            <w:pPr>
              <w:rPr>
                <w:rFonts w:ascii="Times New Roman" w:hAnsi="Times New Roman" w:cs="Times New Roman"/>
                <w:b/>
                <w:sz w:val="24"/>
                <w:szCs w:val="24"/>
              </w:rPr>
            </w:pPr>
            <w:r w:rsidRPr="00FF7CC5">
              <w:rPr>
                <w:rFonts w:ascii="Times New Roman" w:hAnsi="Times New Roman" w:cs="Times New Roman"/>
                <w:b/>
                <w:sz w:val="24"/>
                <w:szCs w:val="24"/>
              </w:rPr>
              <w:t>Sex</w:t>
            </w:r>
          </w:p>
        </w:tc>
        <w:tc>
          <w:tcPr>
            <w:tcW w:w="1935" w:type="dxa"/>
            <w:gridSpan w:val="2"/>
            <w:tcBorders>
              <w:top w:val="single" w:sz="4" w:space="0" w:color="auto"/>
              <w:bottom w:val="single" w:sz="4" w:space="0" w:color="auto"/>
            </w:tcBorders>
          </w:tcPr>
          <w:p w14:paraId="37260ADD" w14:textId="77777777" w:rsidR="005F4917" w:rsidRPr="00FF7CC5" w:rsidRDefault="005F4917" w:rsidP="009E1166">
            <w:pPr>
              <w:jc w:val="center"/>
              <w:rPr>
                <w:rFonts w:ascii="Times New Roman" w:hAnsi="Times New Roman" w:cs="Times New Roman"/>
                <w:bCs/>
                <w:sz w:val="24"/>
                <w:szCs w:val="24"/>
              </w:rPr>
            </w:pPr>
          </w:p>
        </w:tc>
        <w:tc>
          <w:tcPr>
            <w:tcW w:w="1935" w:type="dxa"/>
            <w:gridSpan w:val="2"/>
            <w:tcBorders>
              <w:top w:val="single" w:sz="4" w:space="0" w:color="auto"/>
              <w:bottom w:val="single" w:sz="4" w:space="0" w:color="auto"/>
            </w:tcBorders>
          </w:tcPr>
          <w:p w14:paraId="497B9D45" w14:textId="77777777" w:rsidR="005F4917" w:rsidRPr="00FF7CC5" w:rsidRDefault="005F4917" w:rsidP="009E1166">
            <w:pPr>
              <w:jc w:val="center"/>
              <w:rPr>
                <w:rFonts w:ascii="Times New Roman" w:hAnsi="Times New Roman" w:cs="Times New Roman"/>
                <w:bCs/>
                <w:sz w:val="24"/>
                <w:szCs w:val="24"/>
              </w:rPr>
            </w:pPr>
          </w:p>
        </w:tc>
      </w:tr>
      <w:tr w:rsidR="005F4917" w:rsidRPr="00FF7CC5" w14:paraId="66B36FA3" w14:textId="77777777" w:rsidTr="009E1166">
        <w:tc>
          <w:tcPr>
            <w:tcW w:w="535" w:type="dxa"/>
            <w:tcBorders>
              <w:top w:val="single" w:sz="4" w:space="0" w:color="auto"/>
            </w:tcBorders>
          </w:tcPr>
          <w:p w14:paraId="7E178F67" w14:textId="77777777" w:rsidR="005F4917" w:rsidRPr="00FF7CC5" w:rsidRDefault="005F4917" w:rsidP="009E1166">
            <w:pPr>
              <w:rPr>
                <w:rFonts w:ascii="Times New Roman" w:hAnsi="Times New Roman" w:cs="Times New Roman"/>
                <w:b/>
                <w:sz w:val="24"/>
                <w:szCs w:val="24"/>
              </w:rPr>
            </w:pPr>
          </w:p>
        </w:tc>
        <w:tc>
          <w:tcPr>
            <w:tcW w:w="2880" w:type="dxa"/>
            <w:tcBorders>
              <w:top w:val="single" w:sz="4" w:space="0" w:color="auto"/>
            </w:tcBorders>
          </w:tcPr>
          <w:p w14:paraId="68E566BD"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Male</w:t>
            </w:r>
          </w:p>
        </w:tc>
        <w:tc>
          <w:tcPr>
            <w:tcW w:w="1935" w:type="dxa"/>
            <w:gridSpan w:val="2"/>
            <w:tcBorders>
              <w:top w:val="single" w:sz="4" w:space="0" w:color="auto"/>
            </w:tcBorders>
          </w:tcPr>
          <w:p w14:paraId="43A35878"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13</w:t>
            </w:r>
          </w:p>
        </w:tc>
        <w:tc>
          <w:tcPr>
            <w:tcW w:w="1935" w:type="dxa"/>
            <w:gridSpan w:val="2"/>
            <w:tcBorders>
              <w:top w:val="single" w:sz="4" w:space="0" w:color="auto"/>
            </w:tcBorders>
          </w:tcPr>
          <w:p w14:paraId="6C85DE70"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29.50</w:t>
            </w:r>
          </w:p>
        </w:tc>
      </w:tr>
      <w:tr w:rsidR="005F4917" w:rsidRPr="00FF7CC5" w14:paraId="54836263" w14:textId="77777777" w:rsidTr="009E1166">
        <w:tc>
          <w:tcPr>
            <w:tcW w:w="535" w:type="dxa"/>
          </w:tcPr>
          <w:p w14:paraId="0CCEB149" w14:textId="77777777" w:rsidR="005F4917" w:rsidRPr="00FF7CC5" w:rsidRDefault="005F4917" w:rsidP="009E1166">
            <w:pPr>
              <w:rPr>
                <w:rFonts w:ascii="Times New Roman" w:hAnsi="Times New Roman" w:cs="Times New Roman"/>
                <w:b/>
                <w:sz w:val="24"/>
                <w:szCs w:val="24"/>
              </w:rPr>
            </w:pPr>
          </w:p>
        </w:tc>
        <w:tc>
          <w:tcPr>
            <w:tcW w:w="2880" w:type="dxa"/>
          </w:tcPr>
          <w:p w14:paraId="7073F4AA"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Female</w:t>
            </w:r>
          </w:p>
        </w:tc>
        <w:tc>
          <w:tcPr>
            <w:tcW w:w="1935" w:type="dxa"/>
            <w:gridSpan w:val="2"/>
          </w:tcPr>
          <w:p w14:paraId="2B7E11F9"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31</w:t>
            </w:r>
          </w:p>
        </w:tc>
        <w:tc>
          <w:tcPr>
            <w:tcW w:w="1935" w:type="dxa"/>
            <w:gridSpan w:val="2"/>
          </w:tcPr>
          <w:p w14:paraId="1E844CCF"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70.50</w:t>
            </w:r>
          </w:p>
        </w:tc>
      </w:tr>
      <w:tr w:rsidR="005F4917" w:rsidRPr="00FF7CC5" w14:paraId="48D0390B" w14:textId="77777777" w:rsidTr="009E1166">
        <w:tc>
          <w:tcPr>
            <w:tcW w:w="535" w:type="dxa"/>
          </w:tcPr>
          <w:p w14:paraId="4F624ADA" w14:textId="77777777" w:rsidR="005F4917" w:rsidRPr="00FF7CC5" w:rsidRDefault="005F4917" w:rsidP="009E1166">
            <w:pPr>
              <w:rPr>
                <w:rFonts w:ascii="Times New Roman" w:hAnsi="Times New Roman" w:cs="Times New Roman"/>
                <w:b/>
                <w:sz w:val="24"/>
                <w:szCs w:val="24"/>
              </w:rPr>
            </w:pPr>
          </w:p>
        </w:tc>
        <w:tc>
          <w:tcPr>
            <w:tcW w:w="2880" w:type="dxa"/>
          </w:tcPr>
          <w:p w14:paraId="08DE73B3" w14:textId="77777777" w:rsidR="005F4917" w:rsidRPr="00FF7CC5" w:rsidRDefault="005F4917" w:rsidP="009E1166">
            <w:pPr>
              <w:rPr>
                <w:rFonts w:ascii="Times New Roman" w:hAnsi="Times New Roman" w:cs="Times New Roman"/>
                <w:b/>
                <w:sz w:val="24"/>
                <w:szCs w:val="24"/>
              </w:rPr>
            </w:pPr>
          </w:p>
        </w:tc>
        <w:tc>
          <w:tcPr>
            <w:tcW w:w="1935" w:type="dxa"/>
            <w:gridSpan w:val="2"/>
          </w:tcPr>
          <w:p w14:paraId="59096016" w14:textId="77777777" w:rsidR="005F4917" w:rsidRPr="00FF7CC5" w:rsidRDefault="005F4917" w:rsidP="009E1166">
            <w:pPr>
              <w:jc w:val="center"/>
              <w:rPr>
                <w:rFonts w:ascii="Times New Roman" w:hAnsi="Times New Roman" w:cs="Times New Roman"/>
                <w:bCs/>
                <w:sz w:val="24"/>
                <w:szCs w:val="24"/>
              </w:rPr>
            </w:pPr>
          </w:p>
        </w:tc>
        <w:tc>
          <w:tcPr>
            <w:tcW w:w="1935" w:type="dxa"/>
            <w:gridSpan w:val="2"/>
          </w:tcPr>
          <w:p w14:paraId="57B7FF76" w14:textId="77777777" w:rsidR="005F4917" w:rsidRPr="00FF7CC5" w:rsidRDefault="005F4917" w:rsidP="009E1166">
            <w:pPr>
              <w:jc w:val="center"/>
              <w:rPr>
                <w:rFonts w:ascii="Times New Roman" w:hAnsi="Times New Roman" w:cs="Times New Roman"/>
                <w:bCs/>
                <w:sz w:val="24"/>
                <w:szCs w:val="24"/>
              </w:rPr>
            </w:pPr>
          </w:p>
        </w:tc>
      </w:tr>
      <w:tr w:rsidR="005F4917" w:rsidRPr="00FF7CC5" w14:paraId="38D67005" w14:textId="77777777" w:rsidTr="009E1166">
        <w:tc>
          <w:tcPr>
            <w:tcW w:w="3415" w:type="dxa"/>
            <w:gridSpan w:val="2"/>
            <w:tcBorders>
              <w:bottom w:val="single" w:sz="4" w:space="0" w:color="auto"/>
            </w:tcBorders>
          </w:tcPr>
          <w:p w14:paraId="77293967" w14:textId="77777777" w:rsidR="005F4917" w:rsidRPr="00FF7CC5" w:rsidRDefault="005F4917" w:rsidP="009E1166">
            <w:pPr>
              <w:rPr>
                <w:rFonts w:ascii="Times New Roman" w:hAnsi="Times New Roman" w:cs="Times New Roman"/>
                <w:b/>
                <w:sz w:val="24"/>
                <w:szCs w:val="24"/>
              </w:rPr>
            </w:pPr>
            <w:r w:rsidRPr="00FF7CC5">
              <w:rPr>
                <w:rFonts w:ascii="Times New Roman" w:hAnsi="Times New Roman" w:cs="Times New Roman"/>
                <w:b/>
                <w:sz w:val="24"/>
                <w:szCs w:val="24"/>
              </w:rPr>
              <w:t>Race</w:t>
            </w:r>
          </w:p>
        </w:tc>
        <w:tc>
          <w:tcPr>
            <w:tcW w:w="1935" w:type="dxa"/>
            <w:gridSpan w:val="2"/>
            <w:tcBorders>
              <w:bottom w:val="single" w:sz="4" w:space="0" w:color="auto"/>
            </w:tcBorders>
          </w:tcPr>
          <w:p w14:paraId="038C1F87" w14:textId="77777777" w:rsidR="005F4917" w:rsidRPr="00FF7CC5" w:rsidRDefault="005F4917" w:rsidP="009E1166">
            <w:pPr>
              <w:jc w:val="center"/>
              <w:rPr>
                <w:rFonts w:ascii="Times New Roman" w:hAnsi="Times New Roman" w:cs="Times New Roman"/>
                <w:bCs/>
                <w:sz w:val="24"/>
                <w:szCs w:val="24"/>
              </w:rPr>
            </w:pPr>
          </w:p>
        </w:tc>
        <w:tc>
          <w:tcPr>
            <w:tcW w:w="1935" w:type="dxa"/>
            <w:gridSpan w:val="2"/>
            <w:tcBorders>
              <w:bottom w:val="single" w:sz="4" w:space="0" w:color="auto"/>
            </w:tcBorders>
          </w:tcPr>
          <w:p w14:paraId="31A2424E" w14:textId="77777777" w:rsidR="005F4917" w:rsidRPr="00FF7CC5" w:rsidRDefault="005F4917" w:rsidP="009E1166">
            <w:pPr>
              <w:jc w:val="center"/>
              <w:rPr>
                <w:rFonts w:ascii="Times New Roman" w:hAnsi="Times New Roman" w:cs="Times New Roman"/>
                <w:bCs/>
                <w:sz w:val="24"/>
                <w:szCs w:val="24"/>
              </w:rPr>
            </w:pPr>
          </w:p>
        </w:tc>
      </w:tr>
      <w:tr w:rsidR="005F4917" w:rsidRPr="00FF7CC5" w14:paraId="3529F0B4" w14:textId="77777777" w:rsidTr="009E1166">
        <w:tc>
          <w:tcPr>
            <w:tcW w:w="535" w:type="dxa"/>
            <w:tcBorders>
              <w:top w:val="single" w:sz="4" w:space="0" w:color="auto"/>
            </w:tcBorders>
          </w:tcPr>
          <w:p w14:paraId="159446D0" w14:textId="77777777" w:rsidR="005F4917" w:rsidRPr="00FF7CC5" w:rsidRDefault="005F4917" w:rsidP="009E1166">
            <w:pPr>
              <w:rPr>
                <w:rFonts w:ascii="Times New Roman" w:hAnsi="Times New Roman" w:cs="Times New Roman"/>
                <w:b/>
                <w:sz w:val="24"/>
                <w:szCs w:val="24"/>
              </w:rPr>
            </w:pPr>
          </w:p>
        </w:tc>
        <w:tc>
          <w:tcPr>
            <w:tcW w:w="2880" w:type="dxa"/>
            <w:tcBorders>
              <w:top w:val="single" w:sz="4" w:space="0" w:color="auto"/>
            </w:tcBorders>
          </w:tcPr>
          <w:p w14:paraId="746D489D"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White</w:t>
            </w:r>
          </w:p>
        </w:tc>
        <w:tc>
          <w:tcPr>
            <w:tcW w:w="1935" w:type="dxa"/>
            <w:gridSpan w:val="2"/>
            <w:tcBorders>
              <w:top w:val="single" w:sz="4" w:space="0" w:color="auto"/>
            </w:tcBorders>
          </w:tcPr>
          <w:p w14:paraId="1F87B1F0"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37</w:t>
            </w:r>
          </w:p>
        </w:tc>
        <w:tc>
          <w:tcPr>
            <w:tcW w:w="1935" w:type="dxa"/>
            <w:gridSpan w:val="2"/>
            <w:tcBorders>
              <w:top w:val="single" w:sz="4" w:space="0" w:color="auto"/>
            </w:tcBorders>
          </w:tcPr>
          <w:p w14:paraId="33C20441"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84.10</w:t>
            </w:r>
          </w:p>
        </w:tc>
      </w:tr>
      <w:tr w:rsidR="005F4917" w:rsidRPr="00FF7CC5" w14:paraId="3BEE71CC" w14:textId="77777777" w:rsidTr="009E1166">
        <w:tc>
          <w:tcPr>
            <w:tcW w:w="535" w:type="dxa"/>
          </w:tcPr>
          <w:p w14:paraId="250400FC" w14:textId="77777777" w:rsidR="005F4917" w:rsidRPr="00FF7CC5" w:rsidRDefault="005F4917" w:rsidP="009E1166">
            <w:pPr>
              <w:rPr>
                <w:rFonts w:ascii="Times New Roman" w:hAnsi="Times New Roman" w:cs="Times New Roman"/>
                <w:b/>
                <w:sz w:val="24"/>
                <w:szCs w:val="24"/>
              </w:rPr>
            </w:pPr>
          </w:p>
        </w:tc>
        <w:tc>
          <w:tcPr>
            <w:tcW w:w="2880" w:type="dxa"/>
          </w:tcPr>
          <w:p w14:paraId="25A683FD"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Asian</w:t>
            </w:r>
          </w:p>
        </w:tc>
        <w:tc>
          <w:tcPr>
            <w:tcW w:w="1935" w:type="dxa"/>
            <w:gridSpan w:val="2"/>
          </w:tcPr>
          <w:p w14:paraId="00223C7B"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w:t>
            </w:r>
          </w:p>
        </w:tc>
        <w:tc>
          <w:tcPr>
            <w:tcW w:w="1935" w:type="dxa"/>
            <w:gridSpan w:val="2"/>
          </w:tcPr>
          <w:p w14:paraId="3C76FDAC"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2.30</w:t>
            </w:r>
          </w:p>
        </w:tc>
      </w:tr>
      <w:tr w:rsidR="005F4917" w:rsidRPr="00FF7CC5" w14:paraId="1AA78112" w14:textId="77777777" w:rsidTr="009E1166">
        <w:tc>
          <w:tcPr>
            <w:tcW w:w="535" w:type="dxa"/>
          </w:tcPr>
          <w:p w14:paraId="45907DD2" w14:textId="77777777" w:rsidR="005F4917" w:rsidRPr="00FF7CC5" w:rsidRDefault="005F4917" w:rsidP="009E1166">
            <w:pPr>
              <w:rPr>
                <w:rFonts w:ascii="Times New Roman" w:hAnsi="Times New Roman" w:cs="Times New Roman"/>
                <w:b/>
                <w:sz w:val="24"/>
                <w:szCs w:val="24"/>
              </w:rPr>
            </w:pPr>
          </w:p>
        </w:tc>
        <w:tc>
          <w:tcPr>
            <w:tcW w:w="2880" w:type="dxa"/>
          </w:tcPr>
          <w:p w14:paraId="5337AB8B"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Multiracial</w:t>
            </w:r>
          </w:p>
        </w:tc>
        <w:tc>
          <w:tcPr>
            <w:tcW w:w="1935" w:type="dxa"/>
            <w:gridSpan w:val="2"/>
          </w:tcPr>
          <w:p w14:paraId="19BCCD90"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6</w:t>
            </w:r>
          </w:p>
        </w:tc>
        <w:tc>
          <w:tcPr>
            <w:tcW w:w="1935" w:type="dxa"/>
            <w:gridSpan w:val="2"/>
          </w:tcPr>
          <w:p w14:paraId="7B26CD86"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13.60</w:t>
            </w:r>
          </w:p>
        </w:tc>
      </w:tr>
      <w:tr w:rsidR="005F4917" w:rsidRPr="00FF7CC5" w14:paraId="0BF9963C" w14:textId="77777777" w:rsidTr="009E1166">
        <w:tc>
          <w:tcPr>
            <w:tcW w:w="535" w:type="dxa"/>
          </w:tcPr>
          <w:p w14:paraId="270F5EE4" w14:textId="77777777" w:rsidR="005F4917" w:rsidRPr="00FF7CC5" w:rsidRDefault="005F4917" w:rsidP="009E1166">
            <w:pPr>
              <w:rPr>
                <w:rFonts w:ascii="Times New Roman" w:hAnsi="Times New Roman" w:cs="Times New Roman"/>
                <w:b/>
                <w:sz w:val="24"/>
                <w:szCs w:val="24"/>
              </w:rPr>
            </w:pPr>
          </w:p>
        </w:tc>
        <w:tc>
          <w:tcPr>
            <w:tcW w:w="2880" w:type="dxa"/>
          </w:tcPr>
          <w:p w14:paraId="13B81205" w14:textId="77777777" w:rsidR="005F4917" w:rsidRPr="00FF7CC5" w:rsidRDefault="005F4917" w:rsidP="009E1166">
            <w:pPr>
              <w:rPr>
                <w:rFonts w:ascii="Times New Roman" w:hAnsi="Times New Roman" w:cs="Times New Roman"/>
                <w:b/>
                <w:sz w:val="24"/>
                <w:szCs w:val="24"/>
              </w:rPr>
            </w:pPr>
          </w:p>
        </w:tc>
        <w:tc>
          <w:tcPr>
            <w:tcW w:w="1935" w:type="dxa"/>
            <w:gridSpan w:val="2"/>
          </w:tcPr>
          <w:p w14:paraId="1797FE58" w14:textId="77777777" w:rsidR="005F4917" w:rsidRPr="00FF7CC5" w:rsidRDefault="005F4917" w:rsidP="009E1166">
            <w:pPr>
              <w:jc w:val="center"/>
              <w:rPr>
                <w:rFonts w:ascii="Times New Roman" w:hAnsi="Times New Roman" w:cs="Times New Roman"/>
                <w:bCs/>
                <w:sz w:val="24"/>
                <w:szCs w:val="24"/>
              </w:rPr>
            </w:pPr>
          </w:p>
        </w:tc>
        <w:tc>
          <w:tcPr>
            <w:tcW w:w="1935" w:type="dxa"/>
            <w:gridSpan w:val="2"/>
          </w:tcPr>
          <w:p w14:paraId="3D05361C" w14:textId="77777777" w:rsidR="005F4917" w:rsidRPr="00FF7CC5" w:rsidRDefault="005F4917" w:rsidP="009E1166">
            <w:pPr>
              <w:jc w:val="center"/>
              <w:rPr>
                <w:rFonts w:ascii="Times New Roman" w:hAnsi="Times New Roman" w:cs="Times New Roman"/>
                <w:bCs/>
                <w:sz w:val="24"/>
                <w:szCs w:val="24"/>
              </w:rPr>
            </w:pPr>
          </w:p>
        </w:tc>
      </w:tr>
      <w:tr w:rsidR="005F4917" w:rsidRPr="00FF7CC5" w14:paraId="0E914233" w14:textId="77777777" w:rsidTr="009E1166">
        <w:tc>
          <w:tcPr>
            <w:tcW w:w="3415" w:type="dxa"/>
            <w:gridSpan w:val="2"/>
            <w:tcBorders>
              <w:bottom w:val="single" w:sz="4" w:space="0" w:color="auto"/>
            </w:tcBorders>
          </w:tcPr>
          <w:p w14:paraId="010528E8" w14:textId="77777777" w:rsidR="005F4917" w:rsidRPr="00FF7CC5" w:rsidRDefault="005F4917" w:rsidP="009E1166">
            <w:pPr>
              <w:rPr>
                <w:rFonts w:ascii="Times New Roman" w:hAnsi="Times New Roman" w:cs="Times New Roman"/>
                <w:b/>
                <w:sz w:val="24"/>
                <w:szCs w:val="24"/>
              </w:rPr>
            </w:pPr>
            <w:r w:rsidRPr="00FF7CC5">
              <w:rPr>
                <w:rFonts w:ascii="Times New Roman" w:hAnsi="Times New Roman" w:cs="Times New Roman"/>
                <w:b/>
                <w:sz w:val="24"/>
                <w:szCs w:val="24"/>
              </w:rPr>
              <w:t>Ethnicity</w:t>
            </w:r>
          </w:p>
        </w:tc>
        <w:tc>
          <w:tcPr>
            <w:tcW w:w="1935" w:type="dxa"/>
            <w:gridSpan w:val="2"/>
            <w:tcBorders>
              <w:bottom w:val="single" w:sz="4" w:space="0" w:color="auto"/>
            </w:tcBorders>
          </w:tcPr>
          <w:p w14:paraId="3DFF0D18" w14:textId="77777777" w:rsidR="005F4917" w:rsidRPr="00FF7CC5" w:rsidRDefault="005F4917" w:rsidP="009E1166">
            <w:pPr>
              <w:jc w:val="center"/>
              <w:rPr>
                <w:rFonts w:ascii="Times New Roman" w:hAnsi="Times New Roman" w:cs="Times New Roman"/>
                <w:bCs/>
                <w:sz w:val="24"/>
                <w:szCs w:val="24"/>
              </w:rPr>
            </w:pPr>
          </w:p>
        </w:tc>
        <w:tc>
          <w:tcPr>
            <w:tcW w:w="1935" w:type="dxa"/>
            <w:gridSpan w:val="2"/>
            <w:tcBorders>
              <w:bottom w:val="single" w:sz="4" w:space="0" w:color="auto"/>
            </w:tcBorders>
          </w:tcPr>
          <w:p w14:paraId="7CA63020" w14:textId="77777777" w:rsidR="005F4917" w:rsidRPr="00FF7CC5" w:rsidRDefault="005F4917" w:rsidP="009E1166">
            <w:pPr>
              <w:jc w:val="center"/>
              <w:rPr>
                <w:rFonts w:ascii="Times New Roman" w:hAnsi="Times New Roman" w:cs="Times New Roman"/>
                <w:bCs/>
                <w:sz w:val="24"/>
                <w:szCs w:val="24"/>
              </w:rPr>
            </w:pPr>
          </w:p>
        </w:tc>
      </w:tr>
      <w:tr w:rsidR="005F4917" w:rsidRPr="00FF7CC5" w14:paraId="6659133F" w14:textId="77777777" w:rsidTr="009E1166">
        <w:tc>
          <w:tcPr>
            <w:tcW w:w="535" w:type="dxa"/>
            <w:tcBorders>
              <w:top w:val="single" w:sz="4" w:space="0" w:color="auto"/>
            </w:tcBorders>
          </w:tcPr>
          <w:p w14:paraId="75A55AB1" w14:textId="77777777" w:rsidR="005F4917" w:rsidRPr="00FF7CC5" w:rsidRDefault="005F4917" w:rsidP="009E1166">
            <w:pPr>
              <w:rPr>
                <w:rFonts w:ascii="Times New Roman" w:hAnsi="Times New Roman" w:cs="Times New Roman"/>
                <w:b/>
                <w:sz w:val="24"/>
                <w:szCs w:val="24"/>
              </w:rPr>
            </w:pPr>
          </w:p>
        </w:tc>
        <w:tc>
          <w:tcPr>
            <w:tcW w:w="2880" w:type="dxa"/>
            <w:tcBorders>
              <w:top w:val="single" w:sz="4" w:space="0" w:color="auto"/>
            </w:tcBorders>
          </w:tcPr>
          <w:p w14:paraId="63953308"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Hispanic/Latino</w:t>
            </w:r>
          </w:p>
        </w:tc>
        <w:tc>
          <w:tcPr>
            <w:tcW w:w="1935" w:type="dxa"/>
            <w:gridSpan w:val="2"/>
            <w:tcBorders>
              <w:top w:val="single" w:sz="4" w:space="0" w:color="auto"/>
            </w:tcBorders>
          </w:tcPr>
          <w:p w14:paraId="6DD3A820"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41</w:t>
            </w:r>
          </w:p>
        </w:tc>
        <w:tc>
          <w:tcPr>
            <w:tcW w:w="1935" w:type="dxa"/>
            <w:gridSpan w:val="2"/>
            <w:tcBorders>
              <w:top w:val="single" w:sz="4" w:space="0" w:color="auto"/>
            </w:tcBorders>
          </w:tcPr>
          <w:p w14:paraId="6BE5B4E1"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93.20</w:t>
            </w:r>
          </w:p>
        </w:tc>
      </w:tr>
      <w:tr w:rsidR="005F4917" w:rsidRPr="00FF7CC5" w14:paraId="78EACDA2" w14:textId="77777777" w:rsidTr="009E1166">
        <w:tc>
          <w:tcPr>
            <w:tcW w:w="535" w:type="dxa"/>
          </w:tcPr>
          <w:p w14:paraId="02444D4E" w14:textId="77777777" w:rsidR="005F4917" w:rsidRPr="00FF7CC5" w:rsidRDefault="005F4917" w:rsidP="009E1166">
            <w:pPr>
              <w:rPr>
                <w:rFonts w:ascii="Times New Roman" w:hAnsi="Times New Roman" w:cs="Times New Roman"/>
                <w:b/>
                <w:sz w:val="24"/>
                <w:szCs w:val="24"/>
              </w:rPr>
            </w:pPr>
          </w:p>
        </w:tc>
        <w:tc>
          <w:tcPr>
            <w:tcW w:w="2880" w:type="dxa"/>
          </w:tcPr>
          <w:p w14:paraId="11564EA7"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Not Hispanic/Latino</w:t>
            </w:r>
          </w:p>
        </w:tc>
        <w:tc>
          <w:tcPr>
            <w:tcW w:w="1935" w:type="dxa"/>
            <w:gridSpan w:val="2"/>
          </w:tcPr>
          <w:p w14:paraId="371421AE"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3</w:t>
            </w:r>
          </w:p>
        </w:tc>
        <w:tc>
          <w:tcPr>
            <w:tcW w:w="1935" w:type="dxa"/>
            <w:gridSpan w:val="2"/>
          </w:tcPr>
          <w:p w14:paraId="1A5CE5DB"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6.80</w:t>
            </w:r>
          </w:p>
        </w:tc>
      </w:tr>
      <w:tr w:rsidR="005F4917" w:rsidRPr="00FF7CC5" w14:paraId="4893BB11" w14:textId="77777777" w:rsidTr="009E1166">
        <w:tc>
          <w:tcPr>
            <w:tcW w:w="535" w:type="dxa"/>
          </w:tcPr>
          <w:p w14:paraId="62DFC034" w14:textId="77777777" w:rsidR="005F4917" w:rsidRPr="00FF7CC5" w:rsidRDefault="005F4917" w:rsidP="009E1166">
            <w:pPr>
              <w:rPr>
                <w:rFonts w:ascii="Times New Roman" w:hAnsi="Times New Roman" w:cs="Times New Roman"/>
                <w:b/>
                <w:sz w:val="24"/>
                <w:szCs w:val="24"/>
              </w:rPr>
            </w:pPr>
          </w:p>
        </w:tc>
        <w:tc>
          <w:tcPr>
            <w:tcW w:w="2880" w:type="dxa"/>
          </w:tcPr>
          <w:p w14:paraId="3CDD6A93" w14:textId="77777777" w:rsidR="005F4917" w:rsidRPr="00FF7CC5" w:rsidRDefault="005F4917" w:rsidP="009E1166">
            <w:pPr>
              <w:rPr>
                <w:rFonts w:ascii="Times New Roman" w:hAnsi="Times New Roman" w:cs="Times New Roman"/>
                <w:b/>
                <w:sz w:val="24"/>
                <w:szCs w:val="24"/>
              </w:rPr>
            </w:pPr>
          </w:p>
        </w:tc>
        <w:tc>
          <w:tcPr>
            <w:tcW w:w="1935" w:type="dxa"/>
            <w:gridSpan w:val="2"/>
          </w:tcPr>
          <w:p w14:paraId="154E6185" w14:textId="77777777" w:rsidR="005F4917" w:rsidRPr="00FF7CC5" w:rsidRDefault="005F4917" w:rsidP="009E1166">
            <w:pPr>
              <w:jc w:val="center"/>
              <w:rPr>
                <w:rFonts w:ascii="Times New Roman" w:hAnsi="Times New Roman" w:cs="Times New Roman"/>
                <w:bCs/>
                <w:sz w:val="24"/>
                <w:szCs w:val="24"/>
              </w:rPr>
            </w:pPr>
          </w:p>
        </w:tc>
        <w:tc>
          <w:tcPr>
            <w:tcW w:w="1935" w:type="dxa"/>
            <w:gridSpan w:val="2"/>
          </w:tcPr>
          <w:p w14:paraId="7AFFF62B" w14:textId="77777777" w:rsidR="005F4917" w:rsidRPr="00FF7CC5" w:rsidRDefault="005F4917" w:rsidP="009E1166">
            <w:pPr>
              <w:jc w:val="center"/>
              <w:rPr>
                <w:rFonts w:ascii="Times New Roman" w:hAnsi="Times New Roman" w:cs="Times New Roman"/>
                <w:bCs/>
                <w:sz w:val="24"/>
                <w:szCs w:val="24"/>
              </w:rPr>
            </w:pPr>
          </w:p>
        </w:tc>
      </w:tr>
      <w:tr w:rsidR="005F4917" w:rsidRPr="00FF7CC5" w14:paraId="600E7627" w14:textId="77777777" w:rsidTr="009E1166">
        <w:tc>
          <w:tcPr>
            <w:tcW w:w="3415" w:type="dxa"/>
            <w:gridSpan w:val="2"/>
            <w:tcBorders>
              <w:bottom w:val="single" w:sz="4" w:space="0" w:color="auto"/>
            </w:tcBorders>
          </w:tcPr>
          <w:p w14:paraId="667C674C" w14:textId="77777777" w:rsidR="005F4917" w:rsidRPr="00FF7CC5" w:rsidRDefault="005F4917" w:rsidP="009E1166">
            <w:pPr>
              <w:rPr>
                <w:rFonts w:ascii="Times New Roman" w:hAnsi="Times New Roman" w:cs="Times New Roman"/>
                <w:b/>
                <w:sz w:val="24"/>
                <w:szCs w:val="24"/>
              </w:rPr>
            </w:pPr>
            <w:r w:rsidRPr="00FF7CC5">
              <w:rPr>
                <w:rFonts w:ascii="Times New Roman" w:hAnsi="Times New Roman" w:cs="Times New Roman"/>
                <w:b/>
                <w:sz w:val="24"/>
                <w:szCs w:val="24"/>
              </w:rPr>
              <w:t>Mother’s Education</w:t>
            </w:r>
          </w:p>
        </w:tc>
        <w:tc>
          <w:tcPr>
            <w:tcW w:w="1935" w:type="dxa"/>
            <w:gridSpan w:val="2"/>
            <w:tcBorders>
              <w:bottom w:val="single" w:sz="4" w:space="0" w:color="auto"/>
            </w:tcBorders>
          </w:tcPr>
          <w:p w14:paraId="4D93AC92" w14:textId="77777777" w:rsidR="005F4917" w:rsidRPr="00FF7CC5" w:rsidRDefault="005F4917" w:rsidP="009E1166">
            <w:pPr>
              <w:jc w:val="center"/>
              <w:rPr>
                <w:rFonts w:ascii="Times New Roman" w:hAnsi="Times New Roman" w:cs="Times New Roman"/>
                <w:bCs/>
                <w:sz w:val="24"/>
                <w:szCs w:val="24"/>
              </w:rPr>
            </w:pPr>
          </w:p>
        </w:tc>
        <w:tc>
          <w:tcPr>
            <w:tcW w:w="1935" w:type="dxa"/>
            <w:gridSpan w:val="2"/>
            <w:tcBorders>
              <w:bottom w:val="single" w:sz="4" w:space="0" w:color="auto"/>
            </w:tcBorders>
          </w:tcPr>
          <w:p w14:paraId="35502E56" w14:textId="77777777" w:rsidR="005F4917" w:rsidRPr="00FF7CC5" w:rsidRDefault="005F4917" w:rsidP="009E1166">
            <w:pPr>
              <w:jc w:val="center"/>
              <w:rPr>
                <w:rFonts w:ascii="Times New Roman" w:hAnsi="Times New Roman" w:cs="Times New Roman"/>
                <w:bCs/>
                <w:sz w:val="24"/>
                <w:szCs w:val="24"/>
              </w:rPr>
            </w:pPr>
          </w:p>
        </w:tc>
      </w:tr>
      <w:tr w:rsidR="005F4917" w:rsidRPr="00FF7CC5" w14:paraId="0CE6A29D" w14:textId="77777777" w:rsidTr="009E1166">
        <w:tc>
          <w:tcPr>
            <w:tcW w:w="535" w:type="dxa"/>
            <w:tcBorders>
              <w:top w:val="single" w:sz="4" w:space="0" w:color="auto"/>
            </w:tcBorders>
          </w:tcPr>
          <w:p w14:paraId="25D79900" w14:textId="77777777" w:rsidR="005F4917" w:rsidRPr="00FF7CC5" w:rsidRDefault="005F4917" w:rsidP="009E1166">
            <w:pPr>
              <w:rPr>
                <w:rFonts w:ascii="Times New Roman" w:hAnsi="Times New Roman" w:cs="Times New Roman"/>
                <w:b/>
                <w:sz w:val="24"/>
                <w:szCs w:val="24"/>
              </w:rPr>
            </w:pPr>
          </w:p>
        </w:tc>
        <w:tc>
          <w:tcPr>
            <w:tcW w:w="2880" w:type="dxa"/>
            <w:tcBorders>
              <w:top w:val="single" w:sz="4" w:space="0" w:color="auto"/>
            </w:tcBorders>
          </w:tcPr>
          <w:p w14:paraId="5B155EE1"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Partial High School</w:t>
            </w:r>
          </w:p>
        </w:tc>
        <w:tc>
          <w:tcPr>
            <w:tcW w:w="1935" w:type="dxa"/>
            <w:gridSpan w:val="2"/>
            <w:tcBorders>
              <w:top w:val="single" w:sz="4" w:space="0" w:color="auto"/>
            </w:tcBorders>
          </w:tcPr>
          <w:p w14:paraId="5DE5BB52"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w:t>
            </w:r>
          </w:p>
        </w:tc>
        <w:tc>
          <w:tcPr>
            <w:tcW w:w="1935" w:type="dxa"/>
            <w:gridSpan w:val="2"/>
            <w:tcBorders>
              <w:top w:val="single" w:sz="4" w:space="0" w:color="auto"/>
            </w:tcBorders>
          </w:tcPr>
          <w:p w14:paraId="515033F8"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2.30</w:t>
            </w:r>
          </w:p>
        </w:tc>
      </w:tr>
      <w:tr w:rsidR="005F4917" w:rsidRPr="00FF7CC5" w14:paraId="187EAEC7" w14:textId="77777777" w:rsidTr="009E1166">
        <w:tc>
          <w:tcPr>
            <w:tcW w:w="535" w:type="dxa"/>
          </w:tcPr>
          <w:p w14:paraId="06F91BA2" w14:textId="77777777" w:rsidR="005F4917" w:rsidRPr="00FF7CC5" w:rsidRDefault="005F4917" w:rsidP="009E1166">
            <w:pPr>
              <w:rPr>
                <w:rFonts w:ascii="Times New Roman" w:hAnsi="Times New Roman" w:cs="Times New Roman"/>
                <w:b/>
                <w:sz w:val="24"/>
                <w:szCs w:val="24"/>
              </w:rPr>
            </w:pPr>
          </w:p>
        </w:tc>
        <w:tc>
          <w:tcPr>
            <w:tcW w:w="2880" w:type="dxa"/>
          </w:tcPr>
          <w:p w14:paraId="1DA5CAFA"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Partial College</w:t>
            </w:r>
          </w:p>
        </w:tc>
        <w:tc>
          <w:tcPr>
            <w:tcW w:w="1935" w:type="dxa"/>
            <w:gridSpan w:val="2"/>
          </w:tcPr>
          <w:p w14:paraId="7C68AA57"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6</w:t>
            </w:r>
          </w:p>
        </w:tc>
        <w:tc>
          <w:tcPr>
            <w:tcW w:w="1935" w:type="dxa"/>
            <w:gridSpan w:val="2"/>
          </w:tcPr>
          <w:p w14:paraId="565BBD6C"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13.60</w:t>
            </w:r>
          </w:p>
        </w:tc>
      </w:tr>
      <w:tr w:rsidR="005F4917" w:rsidRPr="00FF7CC5" w14:paraId="7FC344B5" w14:textId="77777777" w:rsidTr="009E1166">
        <w:tc>
          <w:tcPr>
            <w:tcW w:w="535" w:type="dxa"/>
          </w:tcPr>
          <w:p w14:paraId="4F03DA44" w14:textId="77777777" w:rsidR="005F4917" w:rsidRPr="00FF7CC5" w:rsidRDefault="005F4917" w:rsidP="009E1166">
            <w:pPr>
              <w:rPr>
                <w:rFonts w:ascii="Times New Roman" w:hAnsi="Times New Roman" w:cs="Times New Roman"/>
                <w:b/>
                <w:sz w:val="24"/>
                <w:szCs w:val="24"/>
              </w:rPr>
            </w:pPr>
          </w:p>
        </w:tc>
        <w:tc>
          <w:tcPr>
            <w:tcW w:w="2880" w:type="dxa"/>
          </w:tcPr>
          <w:p w14:paraId="61D9319A"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College</w:t>
            </w:r>
          </w:p>
        </w:tc>
        <w:tc>
          <w:tcPr>
            <w:tcW w:w="1935" w:type="dxa"/>
            <w:gridSpan w:val="2"/>
          </w:tcPr>
          <w:p w14:paraId="6450C50C"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11</w:t>
            </w:r>
          </w:p>
        </w:tc>
        <w:tc>
          <w:tcPr>
            <w:tcW w:w="1935" w:type="dxa"/>
            <w:gridSpan w:val="2"/>
          </w:tcPr>
          <w:p w14:paraId="09A450FA"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25.00</w:t>
            </w:r>
          </w:p>
        </w:tc>
      </w:tr>
      <w:tr w:rsidR="005F4917" w:rsidRPr="00FF7CC5" w14:paraId="441C9DC0" w14:textId="77777777" w:rsidTr="009E1166">
        <w:tc>
          <w:tcPr>
            <w:tcW w:w="535" w:type="dxa"/>
          </w:tcPr>
          <w:p w14:paraId="012FD54F" w14:textId="77777777" w:rsidR="005F4917" w:rsidRPr="00FF7CC5" w:rsidRDefault="005F4917" w:rsidP="009E1166">
            <w:pPr>
              <w:rPr>
                <w:rFonts w:ascii="Times New Roman" w:hAnsi="Times New Roman" w:cs="Times New Roman"/>
                <w:b/>
                <w:sz w:val="24"/>
                <w:szCs w:val="24"/>
              </w:rPr>
            </w:pPr>
          </w:p>
        </w:tc>
        <w:tc>
          <w:tcPr>
            <w:tcW w:w="2880" w:type="dxa"/>
          </w:tcPr>
          <w:p w14:paraId="2316ED6D" w14:textId="77777777" w:rsidR="005F4917" w:rsidRPr="00FF7CC5" w:rsidRDefault="005F4917" w:rsidP="009E1166">
            <w:pPr>
              <w:rPr>
                <w:rFonts w:ascii="Times New Roman" w:hAnsi="Times New Roman" w:cs="Times New Roman"/>
                <w:bCs/>
                <w:sz w:val="24"/>
                <w:szCs w:val="24"/>
              </w:rPr>
            </w:pPr>
            <w:r w:rsidRPr="00FF7CC5">
              <w:rPr>
                <w:rFonts w:ascii="Times New Roman" w:hAnsi="Times New Roman" w:cs="Times New Roman"/>
                <w:bCs/>
                <w:sz w:val="24"/>
                <w:szCs w:val="24"/>
              </w:rPr>
              <w:t>Graduate</w:t>
            </w:r>
          </w:p>
        </w:tc>
        <w:tc>
          <w:tcPr>
            <w:tcW w:w="1935" w:type="dxa"/>
            <w:gridSpan w:val="2"/>
          </w:tcPr>
          <w:p w14:paraId="419F2B24"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26</w:t>
            </w:r>
          </w:p>
        </w:tc>
        <w:tc>
          <w:tcPr>
            <w:tcW w:w="1935" w:type="dxa"/>
            <w:gridSpan w:val="2"/>
          </w:tcPr>
          <w:p w14:paraId="1246E06E" w14:textId="77777777" w:rsidR="005F4917" w:rsidRPr="00FF7CC5" w:rsidRDefault="005F4917" w:rsidP="009E1166">
            <w:pPr>
              <w:jc w:val="center"/>
              <w:rPr>
                <w:rFonts w:ascii="Times New Roman" w:hAnsi="Times New Roman" w:cs="Times New Roman"/>
                <w:bCs/>
                <w:sz w:val="24"/>
                <w:szCs w:val="24"/>
              </w:rPr>
            </w:pPr>
            <w:r w:rsidRPr="00FF7CC5">
              <w:rPr>
                <w:rFonts w:ascii="Times New Roman" w:hAnsi="Times New Roman" w:cs="Times New Roman"/>
                <w:bCs/>
                <w:sz w:val="24"/>
                <w:szCs w:val="24"/>
              </w:rPr>
              <w:t>59.10</w:t>
            </w:r>
          </w:p>
        </w:tc>
      </w:tr>
    </w:tbl>
    <w:p w14:paraId="5BAD999D" w14:textId="27DC5436" w:rsidR="005F4917" w:rsidRPr="00FF7CC5" w:rsidRDefault="000E77A8">
      <w:pPr>
        <w:rPr>
          <w:rFonts w:ascii="Times New Roman" w:hAnsi="Times New Roman" w:cs="Times New Roman"/>
          <w:b/>
          <w:sz w:val="24"/>
          <w:szCs w:val="24"/>
        </w:rPr>
      </w:pPr>
      <w:r w:rsidRPr="00FF7CC5">
        <w:rPr>
          <w:rFonts w:ascii="Times New Roman" w:hAnsi="Times New Roman" w:cs="Times New Roman"/>
          <w:b/>
          <w:sz w:val="24"/>
          <w:szCs w:val="24"/>
        </w:rPr>
        <w:br w:type="page"/>
      </w:r>
    </w:p>
    <w:p w14:paraId="2204F150" w14:textId="1E5CBDFE" w:rsidR="00AD0BB6" w:rsidRPr="00FF7CC5" w:rsidRDefault="00AD0BB6" w:rsidP="00AD0BB6">
      <w:pPr>
        <w:spacing w:after="0" w:line="240" w:lineRule="auto"/>
        <w:jc w:val="both"/>
        <w:rPr>
          <w:rFonts w:ascii="Times New Roman" w:hAnsi="Times New Roman" w:cs="Times New Roman"/>
          <w:sz w:val="24"/>
          <w:szCs w:val="24"/>
        </w:rPr>
      </w:pPr>
      <w:r w:rsidRPr="00FF7CC5">
        <w:rPr>
          <w:rFonts w:ascii="Times New Roman" w:hAnsi="Times New Roman" w:cs="Times New Roman"/>
          <w:b/>
          <w:sz w:val="24"/>
          <w:szCs w:val="24"/>
        </w:rPr>
        <w:lastRenderedPageBreak/>
        <w:t>Table S</w:t>
      </w:r>
      <w:r w:rsidR="005F4917" w:rsidRPr="00FF7CC5">
        <w:rPr>
          <w:rFonts w:ascii="Times New Roman" w:hAnsi="Times New Roman" w:cs="Times New Roman"/>
          <w:b/>
          <w:sz w:val="24"/>
          <w:szCs w:val="24"/>
        </w:rPr>
        <w:t>2</w:t>
      </w:r>
      <w:r w:rsidRPr="00FF7CC5">
        <w:rPr>
          <w:rFonts w:ascii="Times New Roman" w:hAnsi="Times New Roman" w:cs="Times New Roman"/>
          <w:b/>
          <w:sz w:val="24"/>
          <w:szCs w:val="24"/>
        </w:rPr>
        <w:t xml:space="preserve">. </w:t>
      </w:r>
      <w:r w:rsidRPr="00FF7CC5">
        <w:rPr>
          <w:rFonts w:ascii="Times New Roman" w:hAnsi="Times New Roman" w:cs="Times New Roman"/>
          <w:sz w:val="24"/>
          <w:szCs w:val="24"/>
        </w:rPr>
        <w:t>Hair type and hair treatment characteristics.</w:t>
      </w:r>
    </w:p>
    <w:p w14:paraId="32AA3C1E" w14:textId="77777777" w:rsidR="00AD0BB6" w:rsidRPr="00FF7CC5" w:rsidRDefault="00AD0BB6" w:rsidP="00AD0BB6">
      <w:pPr>
        <w:spacing w:after="0" w:line="240" w:lineRule="auto"/>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800"/>
        <w:gridCol w:w="1530"/>
      </w:tblGrid>
      <w:tr w:rsidR="00AD0BB6" w:rsidRPr="00FF7CC5" w14:paraId="64631659" w14:textId="77777777" w:rsidTr="00A821F8">
        <w:trPr>
          <w:jc w:val="center"/>
        </w:trPr>
        <w:tc>
          <w:tcPr>
            <w:tcW w:w="3060" w:type="dxa"/>
            <w:tcBorders>
              <w:bottom w:val="single" w:sz="4" w:space="0" w:color="auto"/>
            </w:tcBorders>
          </w:tcPr>
          <w:p w14:paraId="47D10B43"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Hair Type</w:t>
            </w:r>
          </w:p>
        </w:tc>
        <w:tc>
          <w:tcPr>
            <w:tcW w:w="1800" w:type="dxa"/>
            <w:tcBorders>
              <w:bottom w:val="single" w:sz="4" w:space="0" w:color="auto"/>
            </w:tcBorders>
          </w:tcPr>
          <w:p w14:paraId="39A9E44E"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i/>
                <w:sz w:val="24"/>
                <w:szCs w:val="24"/>
              </w:rPr>
              <w:t>N</w:t>
            </w:r>
            <w:r w:rsidRPr="00FF7CC5">
              <w:rPr>
                <w:rFonts w:ascii="Times New Roman" w:hAnsi="Times New Roman" w:cs="Times New Roman"/>
                <w:b/>
                <w:sz w:val="24"/>
                <w:szCs w:val="24"/>
              </w:rPr>
              <w:t xml:space="preserve"> </w:t>
            </w:r>
          </w:p>
        </w:tc>
        <w:tc>
          <w:tcPr>
            <w:tcW w:w="1530" w:type="dxa"/>
            <w:tcBorders>
              <w:bottom w:val="single" w:sz="4" w:space="0" w:color="auto"/>
            </w:tcBorders>
          </w:tcPr>
          <w:p w14:paraId="45A84B71"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w:t>
            </w:r>
          </w:p>
        </w:tc>
      </w:tr>
      <w:tr w:rsidR="00AD0BB6" w:rsidRPr="00FF7CC5" w14:paraId="3B1CDA0E" w14:textId="77777777" w:rsidTr="00A821F8">
        <w:trPr>
          <w:jc w:val="center"/>
        </w:trPr>
        <w:tc>
          <w:tcPr>
            <w:tcW w:w="3060" w:type="dxa"/>
            <w:tcBorders>
              <w:top w:val="single" w:sz="4" w:space="0" w:color="auto"/>
            </w:tcBorders>
          </w:tcPr>
          <w:p w14:paraId="485D4E8A"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Straight</w:t>
            </w:r>
          </w:p>
        </w:tc>
        <w:tc>
          <w:tcPr>
            <w:tcW w:w="1800" w:type="dxa"/>
            <w:tcBorders>
              <w:top w:val="single" w:sz="4" w:space="0" w:color="auto"/>
            </w:tcBorders>
          </w:tcPr>
          <w:p w14:paraId="3E9AE7CA"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22</w:t>
            </w:r>
          </w:p>
        </w:tc>
        <w:tc>
          <w:tcPr>
            <w:tcW w:w="1530" w:type="dxa"/>
            <w:tcBorders>
              <w:top w:val="single" w:sz="4" w:space="0" w:color="auto"/>
            </w:tcBorders>
          </w:tcPr>
          <w:p w14:paraId="57BAFA30"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50.00%</w:t>
            </w:r>
          </w:p>
        </w:tc>
      </w:tr>
      <w:tr w:rsidR="00AD0BB6" w:rsidRPr="00FF7CC5" w14:paraId="574859CB" w14:textId="77777777" w:rsidTr="00A821F8">
        <w:trPr>
          <w:jc w:val="center"/>
        </w:trPr>
        <w:tc>
          <w:tcPr>
            <w:tcW w:w="3060" w:type="dxa"/>
          </w:tcPr>
          <w:p w14:paraId="5CE62406"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Wavy</w:t>
            </w:r>
          </w:p>
        </w:tc>
        <w:tc>
          <w:tcPr>
            <w:tcW w:w="1800" w:type="dxa"/>
          </w:tcPr>
          <w:p w14:paraId="0400EB53"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18</w:t>
            </w:r>
          </w:p>
        </w:tc>
        <w:tc>
          <w:tcPr>
            <w:tcW w:w="1530" w:type="dxa"/>
          </w:tcPr>
          <w:p w14:paraId="32508D45"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40.91%</w:t>
            </w:r>
          </w:p>
        </w:tc>
      </w:tr>
      <w:tr w:rsidR="00AD0BB6" w:rsidRPr="00FF7CC5" w14:paraId="64FA3CC5" w14:textId="77777777" w:rsidTr="00A821F8">
        <w:trPr>
          <w:jc w:val="center"/>
        </w:trPr>
        <w:tc>
          <w:tcPr>
            <w:tcW w:w="3060" w:type="dxa"/>
          </w:tcPr>
          <w:p w14:paraId="0DA9B6C3"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Curly</w:t>
            </w:r>
          </w:p>
        </w:tc>
        <w:tc>
          <w:tcPr>
            <w:tcW w:w="1800" w:type="dxa"/>
          </w:tcPr>
          <w:p w14:paraId="42D50D8A"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4</w:t>
            </w:r>
          </w:p>
        </w:tc>
        <w:tc>
          <w:tcPr>
            <w:tcW w:w="1530" w:type="dxa"/>
          </w:tcPr>
          <w:p w14:paraId="0275318A"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9.09%</w:t>
            </w:r>
          </w:p>
        </w:tc>
      </w:tr>
      <w:tr w:rsidR="00AD0BB6" w:rsidRPr="00FF7CC5" w14:paraId="1E07FD1B" w14:textId="77777777" w:rsidTr="00A821F8">
        <w:trPr>
          <w:jc w:val="center"/>
        </w:trPr>
        <w:tc>
          <w:tcPr>
            <w:tcW w:w="3060" w:type="dxa"/>
          </w:tcPr>
          <w:p w14:paraId="6EFA2FE7" w14:textId="77777777" w:rsidR="00AD0BB6" w:rsidRPr="00FF7CC5" w:rsidRDefault="00AD0BB6" w:rsidP="00A821F8">
            <w:pPr>
              <w:jc w:val="both"/>
              <w:rPr>
                <w:rFonts w:ascii="Times New Roman" w:hAnsi="Times New Roman" w:cs="Times New Roman"/>
                <w:sz w:val="24"/>
                <w:szCs w:val="24"/>
              </w:rPr>
            </w:pPr>
          </w:p>
        </w:tc>
        <w:tc>
          <w:tcPr>
            <w:tcW w:w="1800" w:type="dxa"/>
          </w:tcPr>
          <w:p w14:paraId="0F0C95B3" w14:textId="77777777" w:rsidR="00AD0BB6" w:rsidRPr="00FF7CC5" w:rsidRDefault="00AD0BB6" w:rsidP="00A821F8">
            <w:pPr>
              <w:jc w:val="center"/>
              <w:rPr>
                <w:rFonts w:ascii="Times New Roman" w:hAnsi="Times New Roman" w:cs="Times New Roman"/>
                <w:sz w:val="24"/>
                <w:szCs w:val="24"/>
              </w:rPr>
            </w:pPr>
          </w:p>
        </w:tc>
        <w:tc>
          <w:tcPr>
            <w:tcW w:w="1530" w:type="dxa"/>
          </w:tcPr>
          <w:p w14:paraId="70D7B357" w14:textId="77777777" w:rsidR="00AD0BB6" w:rsidRPr="00FF7CC5" w:rsidRDefault="00AD0BB6" w:rsidP="00A821F8">
            <w:pPr>
              <w:jc w:val="center"/>
              <w:rPr>
                <w:rFonts w:ascii="Times New Roman" w:hAnsi="Times New Roman" w:cs="Times New Roman"/>
                <w:sz w:val="24"/>
                <w:szCs w:val="24"/>
              </w:rPr>
            </w:pPr>
          </w:p>
        </w:tc>
      </w:tr>
      <w:tr w:rsidR="00AD0BB6" w:rsidRPr="00FF7CC5" w14:paraId="7DD00EA5" w14:textId="77777777" w:rsidTr="00A821F8">
        <w:trPr>
          <w:jc w:val="center"/>
        </w:trPr>
        <w:tc>
          <w:tcPr>
            <w:tcW w:w="3060" w:type="dxa"/>
            <w:tcBorders>
              <w:bottom w:val="single" w:sz="4" w:space="0" w:color="auto"/>
            </w:tcBorders>
          </w:tcPr>
          <w:p w14:paraId="3385A8E3"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Hair Treatment</w:t>
            </w:r>
          </w:p>
        </w:tc>
        <w:tc>
          <w:tcPr>
            <w:tcW w:w="1800" w:type="dxa"/>
            <w:tcBorders>
              <w:bottom w:val="single" w:sz="4" w:space="0" w:color="auto"/>
            </w:tcBorders>
          </w:tcPr>
          <w:p w14:paraId="29ACC929"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i/>
                <w:sz w:val="24"/>
                <w:szCs w:val="24"/>
              </w:rPr>
              <w:t>N</w:t>
            </w:r>
            <w:r w:rsidRPr="00FF7CC5">
              <w:rPr>
                <w:rFonts w:ascii="Times New Roman" w:hAnsi="Times New Roman" w:cs="Times New Roman"/>
                <w:b/>
                <w:sz w:val="24"/>
                <w:szCs w:val="24"/>
              </w:rPr>
              <w:t xml:space="preserve"> </w:t>
            </w:r>
          </w:p>
        </w:tc>
        <w:tc>
          <w:tcPr>
            <w:tcW w:w="1530" w:type="dxa"/>
            <w:tcBorders>
              <w:bottom w:val="single" w:sz="4" w:space="0" w:color="auto"/>
            </w:tcBorders>
          </w:tcPr>
          <w:p w14:paraId="64ADE250"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w:t>
            </w:r>
          </w:p>
        </w:tc>
      </w:tr>
      <w:tr w:rsidR="00AD0BB6" w:rsidRPr="00FF7CC5" w14:paraId="6F1953AB" w14:textId="77777777" w:rsidTr="00A821F8">
        <w:trPr>
          <w:jc w:val="center"/>
        </w:trPr>
        <w:tc>
          <w:tcPr>
            <w:tcW w:w="3060" w:type="dxa"/>
            <w:tcBorders>
              <w:top w:val="single" w:sz="4" w:space="0" w:color="auto"/>
            </w:tcBorders>
          </w:tcPr>
          <w:p w14:paraId="31CECC40"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Current hair dye</w:t>
            </w:r>
          </w:p>
        </w:tc>
        <w:tc>
          <w:tcPr>
            <w:tcW w:w="1800" w:type="dxa"/>
            <w:tcBorders>
              <w:top w:val="single" w:sz="4" w:space="0" w:color="auto"/>
            </w:tcBorders>
          </w:tcPr>
          <w:p w14:paraId="657E73E9"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9</w:t>
            </w:r>
          </w:p>
        </w:tc>
        <w:tc>
          <w:tcPr>
            <w:tcW w:w="1530" w:type="dxa"/>
            <w:tcBorders>
              <w:top w:val="single" w:sz="4" w:space="0" w:color="auto"/>
            </w:tcBorders>
          </w:tcPr>
          <w:p w14:paraId="3F31A87B"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20.45%</w:t>
            </w:r>
          </w:p>
        </w:tc>
      </w:tr>
      <w:tr w:rsidR="00AD0BB6" w:rsidRPr="00FF7CC5" w14:paraId="7D884B97" w14:textId="77777777" w:rsidTr="00A821F8">
        <w:trPr>
          <w:jc w:val="center"/>
        </w:trPr>
        <w:tc>
          <w:tcPr>
            <w:tcW w:w="3060" w:type="dxa"/>
          </w:tcPr>
          <w:p w14:paraId="39ABB0EC"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Current chemical treatment</w:t>
            </w:r>
          </w:p>
        </w:tc>
        <w:tc>
          <w:tcPr>
            <w:tcW w:w="1800" w:type="dxa"/>
          </w:tcPr>
          <w:p w14:paraId="0AAF137F"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w:t>
            </w:r>
          </w:p>
        </w:tc>
        <w:tc>
          <w:tcPr>
            <w:tcW w:w="1530" w:type="dxa"/>
          </w:tcPr>
          <w:p w14:paraId="798BA6BB"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w:t>
            </w:r>
          </w:p>
        </w:tc>
      </w:tr>
      <w:tr w:rsidR="00AD0BB6" w:rsidRPr="00FF7CC5" w14:paraId="5250C62B" w14:textId="77777777" w:rsidTr="00A821F8">
        <w:trPr>
          <w:jc w:val="center"/>
        </w:trPr>
        <w:tc>
          <w:tcPr>
            <w:tcW w:w="3060" w:type="dxa"/>
          </w:tcPr>
          <w:p w14:paraId="70C8E334"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Products (conditioner/gel/oil)</w:t>
            </w:r>
          </w:p>
        </w:tc>
        <w:tc>
          <w:tcPr>
            <w:tcW w:w="1800" w:type="dxa"/>
          </w:tcPr>
          <w:p w14:paraId="65C12BC3"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25</w:t>
            </w:r>
          </w:p>
        </w:tc>
        <w:tc>
          <w:tcPr>
            <w:tcW w:w="1530" w:type="dxa"/>
          </w:tcPr>
          <w:p w14:paraId="3EB8CB01"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56.82%</w:t>
            </w:r>
          </w:p>
        </w:tc>
      </w:tr>
      <w:tr w:rsidR="00AD0BB6" w:rsidRPr="00FF7CC5" w14:paraId="1A225136" w14:textId="77777777" w:rsidTr="00A821F8">
        <w:trPr>
          <w:jc w:val="center"/>
        </w:trPr>
        <w:tc>
          <w:tcPr>
            <w:tcW w:w="3060" w:type="dxa"/>
          </w:tcPr>
          <w:p w14:paraId="7FCF5388" w14:textId="77777777" w:rsidR="00AD0BB6" w:rsidRPr="00FF7CC5" w:rsidRDefault="00AD0BB6" w:rsidP="00A821F8">
            <w:pPr>
              <w:jc w:val="right"/>
              <w:rPr>
                <w:rFonts w:ascii="Times New Roman" w:hAnsi="Times New Roman" w:cs="Times New Roman"/>
                <w:sz w:val="24"/>
                <w:szCs w:val="24"/>
              </w:rPr>
            </w:pPr>
          </w:p>
        </w:tc>
        <w:tc>
          <w:tcPr>
            <w:tcW w:w="1800" w:type="dxa"/>
          </w:tcPr>
          <w:p w14:paraId="4FC48888" w14:textId="77777777" w:rsidR="00AD0BB6" w:rsidRPr="00FF7CC5" w:rsidRDefault="00AD0BB6" w:rsidP="00A821F8">
            <w:pPr>
              <w:jc w:val="center"/>
              <w:rPr>
                <w:rFonts w:ascii="Times New Roman" w:hAnsi="Times New Roman" w:cs="Times New Roman"/>
                <w:i/>
                <w:sz w:val="24"/>
                <w:szCs w:val="24"/>
              </w:rPr>
            </w:pPr>
          </w:p>
        </w:tc>
        <w:tc>
          <w:tcPr>
            <w:tcW w:w="1530" w:type="dxa"/>
          </w:tcPr>
          <w:p w14:paraId="41B6BAA0" w14:textId="77777777" w:rsidR="00AD0BB6" w:rsidRPr="00FF7CC5" w:rsidRDefault="00AD0BB6" w:rsidP="00A821F8">
            <w:pPr>
              <w:jc w:val="center"/>
              <w:rPr>
                <w:rFonts w:ascii="Times New Roman" w:hAnsi="Times New Roman" w:cs="Times New Roman"/>
                <w:sz w:val="24"/>
                <w:szCs w:val="24"/>
              </w:rPr>
            </w:pPr>
          </w:p>
        </w:tc>
      </w:tr>
      <w:tr w:rsidR="00AD0BB6" w:rsidRPr="00FF7CC5" w14:paraId="03C6E524" w14:textId="77777777" w:rsidTr="00A821F8">
        <w:trPr>
          <w:jc w:val="center"/>
        </w:trPr>
        <w:tc>
          <w:tcPr>
            <w:tcW w:w="3060" w:type="dxa"/>
          </w:tcPr>
          <w:p w14:paraId="31924A3A" w14:textId="77777777" w:rsidR="00AD0BB6" w:rsidRPr="00FF7CC5" w:rsidRDefault="00AD0BB6" w:rsidP="00A821F8">
            <w:pPr>
              <w:jc w:val="right"/>
              <w:rPr>
                <w:rFonts w:ascii="Times New Roman" w:hAnsi="Times New Roman" w:cs="Times New Roman"/>
                <w:sz w:val="24"/>
                <w:szCs w:val="24"/>
              </w:rPr>
            </w:pPr>
          </w:p>
        </w:tc>
        <w:tc>
          <w:tcPr>
            <w:tcW w:w="1800" w:type="dxa"/>
            <w:tcBorders>
              <w:bottom w:val="single" w:sz="4" w:space="0" w:color="auto"/>
            </w:tcBorders>
          </w:tcPr>
          <w:p w14:paraId="54366318"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i/>
                <w:sz w:val="24"/>
                <w:szCs w:val="24"/>
              </w:rPr>
              <w:t>M</w:t>
            </w:r>
            <w:r w:rsidRPr="00FF7CC5">
              <w:rPr>
                <w:rFonts w:ascii="Times New Roman" w:hAnsi="Times New Roman" w:cs="Times New Roman"/>
                <w:b/>
                <w:sz w:val="24"/>
                <w:szCs w:val="24"/>
              </w:rPr>
              <w:t xml:space="preserve"> (</w:t>
            </w:r>
            <w:r w:rsidRPr="00FF7CC5">
              <w:rPr>
                <w:rFonts w:ascii="Times New Roman" w:hAnsi="Times New Roman" w:cs="Times New Roman"/>
                <w:b/>
                <w:i/>
                <w:sz w:val="24"/>
                <w:szCs w:val="24"/>
              </w:rPr>
              <w:t>SD</w:t>
            </w:r>
            <w:r w:rsidRPr="00FF7CC5">
              <w:rPr>
                <w:rFonts w:ascii="Times New Roman" w:hAnsi="Times New Roman" w:cs="Times New Roman"/>
                <w:b/>
                <w:sz w:val="24"/>
                <w:szCs w:val="24"/>
              </w:rPr>
              <w:t>)</w:t>
            </w:r>
          </w:p>
        </w:tc>
        <w:tc>
          <w:tcPr>
            <w:tcW w:w="1530" w:type="dxa"/>
            <w:tcBorders>
              <w:bottom w:val="single" w:sz="4" w:space="0" w:color="auto"/>
            </w:tcBorders>
          </w:tcPr>
          <w:p w14:paraId="45846942"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Range</w:t>
            </w:r>
          </w:p>
        </w:tc>
      </w:tr>
      <w:tr w:rsidR="00AD0BB6" w:rsidRPr="00FF7CC5" w14:paraId="630FB526" w14:textId="77777777" w:rsidTr="00A821F8">
        <w:trPr>
          <w:jc w:val="center"/>
        </w:trPr>
        <w:tc>
          <w:tcPr>
            <w:tcW w:w="3060" w:type="dxa"/>
          </w:tcPr>
          <w:p w14:paraId="00515998"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Days since last wash</w:t>
            </w:r>
          </w:p>
        </w:tc>
        <w:tc>
          <w:tcPr>
            <w:tcW w:w="1800" w:type="dxa"/>
            <w:tcBorders>
              <w:top w:val="single" w:sz="4" w:space="0" w:color="auto"/>
            </w:tcBorders>
          </w:tcPr>
          <w:p w14:paraId="4BE6C295"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1.57 (1.34)</w:t>
            </w:r>
          </w:p>
        </w:tc>
        <w:tc>
          <w:tcPr>
            <w:tcW w:w="1530" w:type="dxa"/>
            <w:tcBorders>
              <w:top w:val="single" w:sz="4" w:space="0" w:color="auto"/>
            </w:tcBorders>
          </w:tcPr>
          <w:p w14:paraId="6EC3A7F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 to 7</w:t>
            </w:r>
          </w:p>
        </w:tc>
      </w:tr>
      <w:tr w:rsidR="00AD0BB6" w:rsidRPr="00FF7CC5" w14:paraId="39A87C98" w14:textId="77777777" w:rsidTr="00A821F8">
        <w:trPr>
          <w:jc w:val="center"/>
        </w:trPr>
        <w:tc>
          <w:tcPr>
            <w:tcW w:w="3060" w:type="dxa"/>
          </w:tcPr>
          <w:p w14:paraId="6CA56DE9"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Blow dry (days per week)</w:t>
            </w:r>
          </w:p>
        </w:tc>
        <w:tc>
          <w:tcPr>
            <w:tcW w:w="1800" w:type="dxa"/>
          </w:tcPr>
          <w:p w14:paraId="21766E32"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.46 (.78)</w:t>
            </w:r>
          </w:p>
        </w:tc>
        <w:tc>
          <w:tcPr>
            <w:tcW w:w="1530" w:type="dxa"/>
          </w:tcPr>
          <w:p w14:paraId="576E3307"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 to 4</w:t>
            </w:r>
          </w:p>
        </w:tc>
      </w:tr>
      <w:tr w:rsidR="00AD0BB6" w:rsidRPr="00FF7CC5" w14:paraId="45A2D1B0" w14:textId="77777777" w:rsidTr="00A821F8">
        <w:trPr>
          <w:jc w:val="center"/>
        </w:trPr>
        <w:tc>
          <w:tcPr>
            <w:tcW w:w="3060" w:type="dxa"/>
          </w:tcPr>
          <w:p w14:paraId="0FC0A006" w14:textId="77777777" w:rsidR="00AD0BB6" w:rsidRPr="00FF7CC5" w:rsidRDefault="00AD0BB6" w:rsidP="00A821F8">
            <w:pPr>
              <w:jc w:val="right"/>
              <w:rPr>
                <w:rFonts w:ascii="Times New Roman" w:hAnsi="Times New Roman" w:cs="Times New Roman"/>
                <w:sz w:val="24"/>
                <w:szCs w:val="24"/>
              </w:rPr>
            </w:pPr>
            <w:r w:rsidRPr="00FF7CC5">
              <w:rPr>
                <w:rFonts w:ascii="Times New Roman" w:hAnsi="Times New Roman" w:cs="Times New Roman"/>
                <w:sz w:val="24"/>
                <w:szCs w:val="24"/>
              </w:rPr>
              <w:t>Straighten (days per week)</w:t>
            </w:r>
          </w:p>
        </w:tc>
        <w:tc>
          <w:tcPr>
            <w:tcW w:w="1800" w:type="dxa"/>
          </w:tcPr>
          <w:p w14:paraId="6BC7C09F"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.60 (1.19)</w:t>
            </w:r>
          </w:p>
        </w:tc>
        <w:tc>
          <w:tcPr>
            <w:tcW w:w="1530" w:type="dxa"/>
          </w:tcPr>
          <w:p w14:paraId="693587AC"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 to 6</w:t>
            </w:r>
          </w:p>
        </w:tc>
      </w:tr>
    </w:tbl>
    <w:p w14:paraId="12531E9D" w14:textId="77777777" w:rsidR="00AD0BB6" w:rsidRPr="00FF7CC5" w:rsidRDefault="00AD0BB6" w:rsidP="00AD0BB6">
      <w:pPr>
        <w:spacing w:after="0" w:line="240" w:lineRule="auto"/>
        <w:rPr>
          <w:rFonts w:ascii="Times New Roman" w:hAnsi="Times New Roman" w:cs="Times New Roman"/>
          <w:sz w:val="24"/>
          <w:szCs w:val="24"/>
        </w:rPr>
      </w:pPr>
    </w:p>
    <w:p w14:paraId="19CA2010" w14:textId="77777777" w:rsidR="00AD0BB6" w:rsidRPr="00FF7CC5" w:rsidRDefault="00AD0BB6" w:rsidP="00AD0BB6">
      <w:pPr>
        <w:spacing w:after="0" w:line="240" w:lineRule="auto"/>
        <w:rPr>
          <w:rFonts w:ascii="Times New Roman" w:hAnsi="Times New Roman" w:cs="Times New Roman"/>
          <w:sz w:val="24"/>
          <w:szCs w:val="24"/>
        </w:rPr>
      </w:pPr>
    </w:p>
    <w:p w14:paraId="7A3CD409" w14:textId="77777777" w:rsidR="00AD0BB6" w:rsidRPr="00FF7CC5" w:rsidRDefault="00AD0BB6" w:rsidP="00AD0BB6">
      <w:pPr>
        <w:spacing w:after="0" w:line="240" w:lineRule="auto"/>
        <w:rPr>
          <w:rFonts w:ascii="Times New Roman" w:hAnsi="Times New Roman" w:cs="Times New Roman"/>
          <w:sz w:val="24"/>
          <w:szCs w:val="24"/>
        </w:rPr>
        <w:sectPr w:rsidR="00AD0BB6" w:rsidRPr="00FF7CC5">
          <w:headerReference w:type="default" r:id="rId10"/>
          <w:pgSz w:w="12240" w:h="15840"/>
          <w:pgMar w:top="1440" w:right="1440" w:bottom="1440" w:left="1440" w:header="720" w:footer="720" w:gutter="0"/>
          <w:cols w:space="720"/>
          <w:docGrid w:linePitch="360"/>
        </w:sectPr>
      </w:pPr>
    </w:p>
    <w:p w14:paraId="0A9F4F64" w14:textId="57E5A7E9" w:rsidR="00AD0BB6" w:rsidRPr="00FF7CC5" w:rsidRDefault="00AD0BB6" w:rsidP="00AD0BB6">
      <w:pPr>
        <w:spacing w:after="0" w:line="240" w:lineRule="auto"/>
        <w:jc w:val="both"/>
        <w:rPr>
          <w:rFonts w:ascii="Times New Roman" w:hAnsi="Times New Roman" w:cs="Times New Roman"/>
          <w:sz w:val="24"/>
          <w:szCs w:val="24"/>
        </w:rPr>
      </w:pPr>
      <w:r w:rsidRPr="00FF7CC5">
        <w:rPr>
          <w:rFonts w:ascii="Times New Roman" w:hAnsi="Times New Roman" w:cs="Times New Roman"/>
          <w:b/>
          <w:sz w:val="24"/>
          <w:szCs w:val="24"/>
        </w:rPr>
        <w:lastRenderedPageBreak/>
        <w:t>Table S</w:t>
      </w:r>
      <w:r w:rsidR="005F4917" w:rsidRPr="00FF7CC5">
        <w:rPr>
          <w:rFonts w:ascii="Times New Roman" w:hAnsi="Times New Roman" w:cs="Times New Roman"/>
          <w:b/>
          <w:sz w:val="24"/>
          <w:szCs w:val="24"/>
        </w:rPr>
        <w:t>3</w:t>
      </w:r>
      <w:r w:rsidRPr="00FF7CC5">
        <w:rPr>
          <w:rFonts w:ascii="Times New Roman" w:hAnsi="Times New Roman" w:cs="Times New Roman"/>
          <w:b/>
          <w:sz w:val="24"/>
          <w:szCs w:val="24"/>
        </w:rPr>
        <w:t>.</w:t>
      </w:r>
      <w:r w:rsidRPr="00FF7CC5">
        <w:rPr>
          <w:rFonts w:ascii="Times New Roman" w:hAnsi="Times New Roman" w:cs="Times New Roman"/>
          <w:sz w:val="24"/>
          <w:szCs w:val="24"/>
        </w:rPr>
        <w:t xml:space="preserve"> Means, standard deviations, and ranges of values for hair cortisol concentrations and perceived positive and negative affect total scores pre- and post-lockdowns, as well as the difference between scores post- versus pre-lockdowns.</w:t>
      </w:r>
    </w:p>
    <w:p w14:paraId="1CB55505" w14:textId="77777777" w:rsidR="00AD0BB6" w:rsidRPr="00FF7CC5" w:rsidRDefault="00AD0BB6" w:rsidP="00AD0BB6">
      <w:pPr>
        <w:rPr>
          <w:rFonts w:ascii="Times New Roman" w:hAnsi="Times New Roman" w:cs="Times New Roman"/>
          <w:sz w:val="24"/>
          <w:szCs w:val="24"/>
        </w:rPr>
      </w:pPr>
    </w:p>
    <w:tbl>
      <w:tblPr>
        <w:tblW w:w="5000" w:type="pct"/>
        <w:tblCellMar>
          <w:left w:w="0" w:type="dxa"/>
          <w:right w:w="0" w:type="dxa"/>
        </w:tblCellMar>
        <w:tblLook w:val="0420" w:firstRow="1" w:lastRow="0" w:firstColumn="0" w:lastColumn="0" w:noHBand="0" w:noVBand="1"/>
      </w:tblPr>
      <w:tblGrid>
        <w:gridCol w:w="2725"/>
        <w:gridCol w:w="977"/>
        <w:gridCol w:w="1003"/>
        <w:gridCol w:w="1413"/>
        <w:gridCol w:w="907"/>
        <w:gridCol w:w="894"/>
        <w:gridCol w:w="1511"/>
        <w:gridCol w:w="907"/>
        <w:gridCol w:w="946"/>
        <w:gridCol w:w="1677"/>
      </w:tblGrid>
      <w:tr w:rsidR="00AD0BB6" w:rsidRPr="00FF7CC5" w14:paraId="00A208D3" w14:textId="77777777" w:rsidTr="00A821F8">
        <w:trPr>
          <w:trHeight w:val="332"/>
        </w:trPr>
        <w:tc>
          <w:tcPr>
            <w:tcW w:w="1051" w:type="pct"/>
            <w:tcBorders>
              <w:top w:val="nil"/>
              <w:left w:val="nil"/>
              <w:bottom w:val="nil"/>
              <w:right w:val="nil"/>
            </w:tcBorders>
            <w:shd w:val="clear" w:color="auto" w:fill="auto"/>
            <w:tcMar>
              <w:top w:w="72" w:type="dxa"/>
              <w:left w:w="144" w:type="dxa"/>
              <w:bottom w:w="72" w:type="dxa"/>
              <w:right w:w="144" w:type="dxa"/>
            </w:tcMar>
            <w:hideMark/>
          </w:tcPr>
          <w:p w14:paraId="738B624D" w14:textId="77777777" w:rsidR="00AD0BB6" w:rsidRPr="00FF7CC5" w:rsidRDefault="00AD0BB6" w:rsidP="00A821F8">
            <w:pPr>
              <w:spacing w:after="0" w:line="240" w:lineRule="auto"/>
              <w:contextualSpacing/>
              <w:rPr>
                <w:rFonts w:ascii="Times New Roman" w:hAnsi="Times New Roman" w:cs="Times New Roman"/>
                <w:sz w:val="24"/>
                <w:szCs w:val="24"/>
              </w:rPr>
            </w:pPr>
          </w:p>
        </w:tc>
        <w:tc>
          <w:tcPr>
            <w:tcW w:w="1309" w:type="pct"/>
            <w:gridSpan w:val="3"/>
            <w:tcBorders>
              <w:top w:val="nil"/>
              <w:left w:val="nil"/>
              <w:bottom w:val="single" w:sz="8" w:space="0" w:color="000000"/>
              <w:right w:val="nil"/>
            </w:tcBorders>
            <w:shd w:val="clear" w:color="auto" w:fill="auto"/>
            <w:tcMar>
              <w:top w:w="72" w:type="dxa"/>
              <w:left w:w="144" w:type="dxa"/>
              <w:bottom w:w="72" w:type="dxa"/>
              <w:right w:w="144" w:type="dxa"/>
            </w:tcMar>
            <w:hideMark/>
          </w:tcPr>
          <w:p w14:paraId="45471ABC"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sz w:val="24"/>
                <w:szCs w:val="24"/>
              </w:rPr>
              <w:t>Pre-Lockdowns</w:t>
            </w:r>
          </w:p>
        </w:tc>
        <w:tc>
          <w:tcPr>
            <w:tcW w:w="1278" w:type="pct"/>
            <w:gridSpan w:val="3"/>
            <w:tcBorders>
              <w:top w:val="nil"/>
              <w:left w:val="nil"/>
              <w:bottom w:val="single" w:sz="8" w:space="0" w:color="000000"/>
              <w:right w:val="nil"/>
            </w:tcBorders>
            <w:shd w:val="clear" w:color="auto" w:fill="auto"/>
            <w:tcMar>
              <w:top w:w="72" w:type="dxa"/>
              <w:left w:w="144" w:type="dxa"/>
              <w:bottom w:w="72" w:type="dxa"/>
              <w:right w:w="144" w:type="dxa"/>
            </w:tcMar>
            <w:hideMark/>
          </w:tcPr>
          <w:p w14:paraId="53D97463"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sz w:val="24"/>
                <w:szCs w:val="24"/>
              </w:rPr>
              <w:t>Post-Lockdowns</w:t>
            </w:r>
          </w:p>
        </w:tc>
        <w:tc>
          <w:tcPr>
            <w:tcW w:w="1362" w:type="pct"/>
            <w:gridSpan w:val="3"/>
            <w:tcBorders>
              <w:top w:val="nil"/>
              <w:left w:val="nil"/>
              <w:bottom w:val="single" w:sz="8" w:space="0" w:color="000000"/>
              <w:right w:val="nil"/>
            </w:tcBorders>
            <w:shd w:val="clear" w:color="auto" w:fill="auto"/>
            <w:tcMar>
              <w:top w:w="72" w:type="dxa"/>
              <w:left w:w="144" w:type="dxa"/>
              <w:bottom w:w="72" w:type="dxa"/>
              <w:right w:w="144" w:type="dxa"/>
            </w:tcMar>
            <w:hideMark/>
          </w:tcPr>
          <w:p w14:paraId="5852EEDA"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sz w:val="24"/>
                <w:szCs w:val="24"/>
              </w:rPr>
              <w:t>Difference (post – pre)</w:t>
            </w:r>
          </w:p>
        </w:tc>
      </w:tr>
      <w:tr w:rsidR="00AD0BB6" w:rsidRPr="00FF7CC5" w14:paraId="6DDD0018" w14:textId="77777777" w:rsidTr="00A821F8">
        <w:trPr>
          <w:trHeight w:val="332"/>
        </w:trPr>
        <w:tc>
          <w:tcPr>
            <w:tcW w:w="1051" w:type="pct"/>
            <w:tcBorders>
              <w:top w:val="nil"/>
              <w:left w:val="nil"/>
              <w:bottom w:val="single" w:sz="8" w:space="0" w:color="000000"/>
              <w:right w:val="nil"/>
            </w:tcBorders>
            <w:shd w:val="clear" w:color="auto" w:fill="auto"/>
            <w:tcMar>
              <w:top w:w="72" w:type="dxa"/>
              <w:left w:w="144" w:type="dxa"/>
              <w:bottom w:w="72" w:type="dxa"/>
              <w:right w:w="144" w:type="dxa"/>
            </w:tcMar>
            <w:hideMark/>
          </w:tcPr>
          <w:p w14:paraId="63394225" w14:textId="77777777" w:rsidR="00AD0BB6" w:rsidRPr="00FF7CC5" w:rsidRDefault="00AD0BB6" w:rsidP="00A821F8">
            <w:pPr>
              <w:spacing w:after="0" w:line="240" w:lineRule="auto"/>
              <w:contextualSpacing/>
              <w:rPr>
                <w:rFonts w:ascii="Times New Roman" w:hAnsi="Times New Roman" w:cs="Times New Roman"/>
                <w:sz w:val="24"/>
                <w:szCs w:val="24"/>
              </w:rPr>
            </w:pPr>
          </w:p>
        </w:tc>
        <w:tc>
          <w:tcPr>
            <w:tcW w:w="377"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6AB67D3"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i/>
                <w:iCs/>
                <w:sz w:val="24"/>
                <w:szCs w:val="24"/>
              </w:rPr>
              <w:t>M</w:t>
            </w:r>
          </w:p>
        </w:tc>
        <w:tc>
          <w:tcPr>
            <w:tcW w:w="387"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8BADB8D"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i/>
                <w:iCs/>
                <w:sz w:val="24"/>
                <w:szCs w:val="24"/>
              </w:rPr>
              <w:t>SD</w:t>
            </w:r>
          </w:p>
        </w:tc>
        <w:tc>
          <w:tcPr>
            <w:tcW w:w="545"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3857827"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sz w:val="24"/>
                <w:szCs w:val="24"/>
              </w:rPr>
              <w:t>Range</w:t>
            </w:r>
          </w:p>
        </w:tc>
        <w:tc>
          <w:tcPr>
            <w:tcW w:w="35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25F5865"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i/>
                <w:iCs/>
                <w:sz w:val="24"/>
                <w:szCs w:val="24"/>
              </w:rPr>
              <w:t>M</w:t>
            </w:r>
          </w:p>
        </w:tc>
        <w:tc>
          <w:tcPr>
            <w:tcW w:w="345"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ECEE791"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i/>
                <w:iCs/>
                <w:sz w:val="24"/>
                <w:szCs w:val="24"/>
              </w:rPr>
              <w:t>SD</w:t>
            </w:r>
          </w:p>
        </w:tc>
        <w:tc>
          <w:tcPr>
            <w:tcW w:w="583"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2968D74"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sz w:val="24"/>
                <w:szCs w:val="24"/>
              </w:rPr>
              <w:t>Range</w:t>
            </w:r>
          </w:p>
        </w:tc>
        <w:tc>
          <w:tcPr>
            <w:tcW w:w="35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4BD6493"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i/>
                <w:iCs/>
                <w:sz w:val="24"/>
                <w:szCs w:val="24"/>
              </w:rPr>
              <w:t>M</w:t>
            </w:r>
          </w:p>
        </w:tc>
        <w:tc>
          <w:tcPr>
            <w:tcW w:w="365"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0C80F2E"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i/>
                <w:iCs/>
                <w:sz w:val="24"/>
                <w:szCs w:val="24"/>
              </w:rPr>
              <w:t>SD</w:t>
            </w:r>
          </w:p>
        </w:tc>
        <w:tc>
          <w:tcPr>
            <w:tcW w:w="647"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5FB1EE4"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b/>
                <w:bCs/>
                <w:sz w:val="24"/>
                <w:szCs w:val="24"/>
              </w:rPr>
              <w:t>Range</w:t>
            </w:r>
          </w:p>
        </w:tc>
      </w:tr>
      <w:tr w:rsidR="00AD0BB6" w:rsidRPr="00FF7CC5" w14:paraId="039717CF" w14:textId="77777777" w:rsidTr="00A821F8">
        <w:trPr>
          <w:trHeight w:val="332"/>
        </w:trPr>
        <w:tc>
          <w:tcPr>
            <w:tcW w:w="1051"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52598ECE" w14:textId="77777777" w:rsidR="00AD0BB6" w:rsidRPr="00FF7CC5" w:rsidRDefault="00AD0BB6" w:rsidP="00A821F8">
            <w:pPr>
              <w:spacing w:after="0" w:line="240" w:lineRule="auto"/>
              <w:contextualSpacing/>
              <w:rPr>
                <w:rFonts w:ascii="Times New Roman" w:hAnsi="Times New Roman" w:cs="Times New Roman"/>
                <w:sz w:val="24"/>
                <w:szCs w:val="24"/>
              </w:rPr>
            </w:pPr>
            <w:r w:rsidRPr="00FF7CC5">
              <w:rPr>
                <w:rFonts w:ascii="Times New Roman" w:hAnsi="Times New Roman" w:cs="Times New Roman"/>
                <w:sz w:val="24"/>
                <w:szCs w:val="24"/>
              </w:rPr>
              <w:t>Hair Cortisol (</w:t>
            </w:r>
            <w:proofErr w:type="spellStart"/>
            <w:r w:rsidRPr="00FF7CC5">
              <w:rPr>
                <w:rFonts w:ascii="Times New Roman" w:hAnsi="Times New Roman" w:cs="Times New Roman"/>
                <w:sz w:val="24"/>
                <w:szCs w:val="24"/>
              </w:rPr>
              <w:t>pg</w:t>
            </w:r>
            <w:proofErr w:type="spellEnd"/>
            <w:r w:rsidRPr="00FF7CC5">
              <w:rPr>
                <w:rFonts w:ascii="Times New Roman" w:hAnsi="Times New Roman" w:cs="Times New Roman"/>
                <w:sz w:val="24"/>
                <w:szCs w:val="24"/>
              </w:rPr>
              <w:t>/mL)</w:t>
            </w:r>
          </w:p>
        </w:tc>
        <w:tc>
          <w:tcPr>
            <w:tcW w:w="377"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50C858DD"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4.92</w:t>
            </w:r>
          </w:p>
        </w:tc>
        <w:tc>
          <w:tcPr>
            <w:tcW w:w="387"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310602EF"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4.03</w:t>
            </w:r>
          </w:p>
        </w:tc>
        <w:tc>
          <w:tcPr>
            <w:tcW w:w="545"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4EAB4CD6"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.75 – 19.65</w:t>
            </w:r>
          </w:p>
        </w:tc>
        <w:tc>
          <w:tcPr>
            <w:tcW w:w="350"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1CAF888F"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6.43</w:t>
            </w:r>
          </w:p>
        </w:tc>
        <w:tc>
          <w:tcPr>
            <w:tcW w:w="345"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15168F1F"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2.28</w:t>
            </w:r>
          </w:p>
        </w:tc>
        <w:tc>
          <w:tcPr>
            <w:tcW w:w="583"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1D7D6271"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2.85 – 14.10</w:t>
            </w:r>
          </w:p>
        </w:tc>
        <w:tc>
          <w:tcPr>
            <w:tcW w:w="350"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6E365C25"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1.51</w:t>
            </w:r>
          </w:p>
        </w:tc>
        <w:tc>
          <w:tcPr>
            <w:tcW w:w="365"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3679E224"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3.88</w:t>
            </w:r>
          </w:p>
        </w:tc>
        <w:tc>
          <w:tcPr>
            <w:tcW w:w="647" w:type="pct"/>
            <w:tcBorders>
              <w:top w:val="single" w:sz="8" w:space="0" w:color="000000"/>
              <w:left w:val="nil"/>
              <w:bottom w:val="nil"/>
              <w:right w:val="nil"/>
            </w:tcBorders>
            <w:shd w:val="clear" w:color="auto" w:fill="auto"/>
            <w:tcMar>
              <w:top w:w="72" w:type="dxa"/>
              <w:left w:w="144" w:type="dxa"/>
              <w:bottom w:w="72" w:type="dxa"/>
              <w:right w:w="144" w:type="dxa"/>
            </w:tcMar>
            <w:hideMark/>
          </w:tcPr>
          <w:p w14:paraId="7CE54BBA"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-14.10 – 7.65</w:t>
            </w:r>
          </w:p>
        </w:tc>
      </w:tr>
      <w:tr w:rsidR="00AD0BB6" w:rsidRPr="00FF7CC5" w14:paraId="70532C65" w14:textId="77777777" w:rsidTr="00A821F8">
        <w:trPr>
          <w:trHeight w:val="332"/>
        </w:trPr>
        <w:tc>
          <w:tcPr>
            <w:tcW w:w="1051" w:type="pct"/>
            <w:tcBorders>
              <w:top w:val="nil"/>
              <w:left w:val="nil"/>
              <w:bottom w:val="nil"/>
              <w:right w:val="nil"/>
            </w:tcBorders>
            <w:shd w:val="clear" w:color="auto" w:fill="auto"/>
            <w:tcMar>
              <w:top w:w="72" w:type="dxa"/>
              <w:left w:w="144" w:type="dxa"/>
              <w:bottom w:w="72" w:type="dxa"/>
              <w:right w:w="144" w:type="dxa"/>
            </w:tcMar>
            <w:hideMark/>
          </w:tcPr>
          <w:p w14:paraId="56790FC7" w14:textId="77777777" w:rsidR="00AD0BB6" w:rsidRPr="00FF7CC5" w:rsidRDefault="00AD0BB6" w:rsidP="00A821F8">
            <w:pPr>
              <w:spacing w:after="0" w:line="240" w:lineRule="auto"/>
              <w:contextualSpacing/>
              <w:rPr>
                <w:rFonts w:ascii="Times New Roman" w:hAnsi="Times New Roman" w:cs="Times New Roman"/>
                <w:sz w:val="24"/>
                <w:szCs w:val="24"/>
              </w:rPr>
            </w:pPr>
            <w:r w:rsidRPr="00FF7CC5">
              <w:rPr>
                <w:rFonts w:ascii="Times New Roman" w:hAnsi="Times New Roman" w:cs="Times New Roman"/>
                <w:sz w:val="24"/>
                <w:szCs w:val="24"/>
              </w:rPr>
              <w:t>Positive Affect</w:t>
            </w:r>
          </w:p>
        </w:tc>
        <w:tc>
          <w:tcPr>
            <w:tcW w:w="377" w:type="pct"/>
            <w:tcBorders>
              <w:top w:val="nil"/>
              <w:left w:val="nil"/>
              <w:bottom w:val="nil"/>
              <w:right w:val="nil"/>
            </w:tcBorders>
            <w:shd w:val="clear" w:color="auto" w:fill="auto"/>
            <w:tcMar>
              <w:top w:w="72" w:type="dxa"/>
              <w:left w:w="144" w:type="dxa"/>
              <w:bottom w:w="72" w:type="dxa"/>
              <w:right w:w="144" w:type="dxa"/>
            </w:tcMar>
            <w:hideMark/>
          </w:tcPr>
          <w:p w14:paraId="7D5F2C3E"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44.50</w:t>
            </w:r>
          </w:p>
        </w:tc>
        <w:tc>
          <w:tcPr>
            <w:tcW w:w="387" w:type="pct"/>
            <w:tcBorders>
              <w:top w:val="nil"/>
              <w:left w:val="nil"/>
              <w:bottom w:val="nil"/>
              <w:right w:val="nil"/>
            </w:tcBorders>
            <w:shd w:val="clear" w:color="auto" w:fill="auto"/>
            <w:tcMar>
              <w:top w:w="72" w:type="dxa"/>
              <w:left w:w="144" w:type="dxa"/>
              <w:bottom w:w="72" w:type="dxa"/>
              <w:right w:w="144" w:type="dxa"/>
            </w:tcMar>
            <w:hideMark/>
          </w:tcPr>
          <w:p w14:paraId="47313664"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7.93</w:t>
            </w:r>
          </w:p>
        </w:tc>
        <w:tc>
          <w:tcPr>
            <w:tcW w:w="545" w:type="pct"/>
            <w:tcBorders>
              <w:top w:val="nil"/>
              <w:left w:val="nil"/>
              <w:bottom w:val="nil"/>
              <w:right w:val="nil"/>
            </w:tcBorders>
            <w:shd w:val="clear" w:color="auto" w:fill="auto"/>
            <w:tcMar>
              <w:top w:w="72" w:type="dxa"/>
              <w:left w:w="144" w:type="dxa"/>
              <w:bottom w:w="72" w:type="dxa"/>
              <w:right w:w="144" w:type="dxa"/>
            </w:tcMar>
            <w:hideMark/>
          </w:tcPr>
          <w:p w14:paraId="46007B83"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28 – 58</w:t>
            </w:r>
          </w:p>
        </w:tc>
        <w:tc>
          <w:tcPr>
            <w:tcW w:w="350" w:type="pct"/>
            <w:tcBorders>
              <w:top w:val="nil"/>
              <w:left w:val="nil"/>
              <w:bottom w:val="nil"/>
              <w:right w:val="nil"/>
            </w:tcBorders>
            <w:shd w:val="clear" w:color="auto" w:fill="auto"/>
            <w:tcMar>
              <w:top w:w="72" w:type="dxa"/>
              <w:left w:w="144" w:type="dxa"/>
              <w:bottom w:w="72" w:type="dxa"/>
              <w:right w:w="144" w:type="dxa"/>
            </w:tcMar>
            <w:hideMark/>
          </w:tcPr>
          <w:p w14:paraId="1B8F1A9F"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42.73</w:t>
            </w:r>
          </w:p>
        </w:tc>
        <w:tc>
          <w:tcPr>
            <w:tcW w:w="345" w:type="pct"/>
            <w:tcBorders>
              <w:top w:val="nil"/>
              <w:left w:val="nil"/>
              <w:bottom w:val="nil"/>
              <w:right w:val="nil"/>
            </w:tcBorders>
            <w:shd w:val="clear" w:color="auto" w:fill="auto"/>
            <w:tcMar>
              <w:top w:w="72" w:type="dxa"/>
              <w:left w:w="144" w:type="dxa"/>
              <w:bottom w:w="72" w:type="dxa"/>
              <w:right w:w="144" w:type="dxa"/>
            </w:tcMar>
            <w:hideMark/>
          </w:tcPr>
          <w:p w14:paraId="5BFD0AEB"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8.86</w:t>
            </w:r>
          </w:p>
        </w:tc>
        <w:tc>
          <w:tcPr>
            <w:tcW w:w="583" w:type="pct"/>
            <w:tcBorders>
              <w:top w:val="nil"/>
              <w:left w:val="nil"/>
              <w:bottom w:val="nil"/>
              <w:right w:val="nil"/>
            </w:tcBorders>
            <w:shd w:val="clear" w:color="auto" w:fill="auto"/>
            <w:tcMar>
              <w:top w:w="72" w:type="dxa"/>
              <w:left w:w="144" w:type="dxa"/>
              <w:bottom w:w="72" w:type="dxa"/>
              <w:right w:w="144" w:type="dxa"/>
            </w:tcMar>
            <w:hideMark/>
          </w:tcPr>
          <w:p w14:paraId="1598CC50"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21 – 64</w:t>
            </w:r>
          </w:p>
        </w:tc>
        <w:tc>
          <w:tcPr>
            <w:tcW w:w="350" w:type="pct"/>
            <w:tcBorders>
              <w:top w:val="nil"/>
              <w:left w:val="nil"/>
              <w:bottom w:val="nil"/>
              <w:right w:val="nil"/>
            </w:tcBorders>
            <w:shd w:val="clear" w:color="auto" w:fill="auto"/>
            <w:tcMar>
              <w:top w:w="72" w:type="dxa"/>
              <w:left w:w="144" w:type="dxa"/>
              <w:bottom w:w="72" w:type="dxa"/>
              <w:right w:w="144" w:type="dxa"/>
            </w:tcMar>
            <w:hideMark/>
          </w:tcPr>
          <w:p w14:paraId="21E2E4F8"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-1.77</w:t>
            </w:r>
          </w:p>
        </w:tc>
        <w:tc>
          <w:tcPr>
            <w:tcW w:w="365" w:type="pct"/>
            <w:tcBorders>
              <w:top w:val="nil"/>
              <w:left w:val="nil"/>
              <w:bottom w:val="nil"/>
              <w:right w:val="nil"/>
            </w:tcBorders>
            <w:shd w:val="clear" w:color="auto" w:fill="auto"/>
            <w:tcMar>
              <w:top w:w="72" w:type="dxa"/>
              <w:left w:w="144" w:type="dxa"/>
              <w:bottom w:w="72" w:type="dxa"/>
              <w:right w:w="144" w:type="dxa"/>
            </w:tcMar>
            <w:hideMark/>
          </w:tcPr>
          <w:p w14:paraId="1876B1A6"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10.22</w:t>
            </w:r>
          </w:p>
        </w:tc>
        <w:tc>
          <w:tcPr>
            <w:tcW w:w="647" w:type="pct"/>
            <w:tcBorders>
              <w:top w:val="nil"/>
              <w:left w:val="nil"/>
              <w:bottom w:val="nil"/>
              <w:right w:val="nil"/>
            </w:tcBorders>
            <w:shd w:val="clear" w:color="auto" w:fill="auto"/>
            <w:tcMar>
              <w:top w:w="72" w:type="dxa"/>
              <w:left w:w="144" w:type="dxa"/>
              <w:bottom w:w="72" w:type="dxa"/>
              <w:right w:w="144" w:type="dxa"/>
            </w:tcMar>
            <w:hideMark/>
          </w:tcPr>
          <w:p w14:paraId="1C89DF96"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-27 – 29</w:t>
            </w:r>
          </w:p>
        </w:tc>
      </w:tr>
      <w:tr w:rsidR="00AD0BB6" w:rsidRPr="00FF7CC5" w14:paraId="0AC2A8CF" w14:textId="77777777" w:rsidTr="00A821F8">
        <w:trPr>
          <w:trHeight w:val="332"/>
        </w:trPr>
        <w:tc>
          <w:tcPr>
            <w:tcW w:w="1051" w:type="pct"/>
            <w:tcBorders>
              <w:top w:val="nil"/>
              <w:left w:val="nil"/>
              <w:bottom w:val="nil"/>
              <w:right w:val="nil"/>
            </w:tcBorders>
            <w:shd w:val="clear" w:color="auto" w:fill="auto"/>
            <w:tcMar>
              <w:top w:w="72" w:type="dxa"/>
              <w:left w:w="144" w:type="dxa"/>
              <w:bottom w:w="72" w:type="dxa"/>
              <w:right w:w="144" w:type="dxa"/>
            </w:tcMar>
            <w:hideMark/>
          </w:tcPr>
          <w:p w14:paraId="41DB13A8" w14:textId="77777777" w:rsidR="00AD0BB6" w:rsidRPr="00FF7CC5" w:rsidRDefault="00AD0BB6" w:rsidP="00A821F8">
            <w:pPr>
              <w:spacing w:after="0" w:line="240" w:lineRule="auto"/>
              <w:contextualSpacing/>
              <w:rPr>
                <w:rFonts w:ascii="Times New Roman" w:hAnsi="Times New Roman" w:cs="Times New Roman"/>
                <w:sz w:val="24"/>
                <w:szCs w:val="24"/>
              </w:rPr>
            </w:pPr>
            <w:r w:rsidRPr="00FF7CC5">
              <w:rPr>
                <w:rFonts w:ascii="Times New Roman" w:hAnsi="Times New Roman" w:cs="Times New Roman"/>
                <w:sz w:val="24"/>
                <w:szCs w:val="24"/>
              </w:rPr>
              <w:t>Negative Affect</w:t>
            </w:r>
          </w:p>
        </w:tc>
        <w:tc>
          <w:tcPr>
            <w:tcW w:w="377" w:type="pct"/>
            <w:tcBorders>
              <w:top w:val="nil"/>
              <w:left w:val="nil"/>
              <w:bottom w:val="nil"/>
              <w:right w:val="nil"/>
            </w:tcBorders>
            <w:shd w:val="clear" w:color="auto" w:fill="auto"/>
            <w:tcMar>
              <w:top w:w="72" w:type="dxa"/>
              <w:left w:w="144" w:type="dxa"/>
              <w:bottom w:w="72" w:type="dxa"/>
              <w:right w:w="144" w:type="dxa"/>
            </w:tcMar>
            <w:hideMark/>
          </w:tcPr>
          <w:p w14:paraId="0C8DDC57"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27.07</w:t>
            </w:r>
          </w:p>
        </w:tc>
        <w:tc>
          <w:tcPr>
            <w:tcW w:w="387" w:type="pct"/>
            <w:tcBorders>
              <w:top w:val="nil"/>
              <w:left w:val="nil"/>
              <w:bottom w:val="nil"/>
              <w:right w:val="nil"/>
            </w:tcBorders>
            <w:shd w:val="clear" w:color="auto" w:fill="auto"/>
            <w:tcMar>
              <w:top w:w="72" w:type="dxa"/>
              <w:left w:w="144" w:type="dxa"/>
              <w:bottom w:w="72" w:type="dxa"/>
              <w:right w:w="144" w:type="dxa"/>
            </w:tcMar>
            <w:hideMark/>
          </w:tcPr>
          <w:p w14:paraId="394AB3F2"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8.06</w:t>
            </w:r>
          </w:p>
        </w:tc>
        <w:tc>
          <w:tcPr>
            <w:tcW w:w="545" w:type="pct"/>
            <w:tcBorders>
              <w:top w:val="nil"/>
              <w:left w:val="nil"/>
              <w:bottom w:val="nil"/>
              <w:right w:val="nil"/>
            </w:tcBorders>
            <w:shd w:val="clear" w:color="auto" w:fill="auto"/>
            <w:tcMar>
              <w:top w:w="72" w:type="dxa"/>
              <w:left w:w="144" w:type="dxa"/>
              <w:bottom w:w="72" w:type="dxa"/>
              <w:right w:w="144" w:type="dxa"/>
            </w:tcMar>
            <w:hideMark/>
          </w:tcPr>
          <w:p w14:paraId="01E6298D"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15 – 45</w:t>
            </w:r>
          </w:p>
        </w:tc>
        <w:tc>
          <w:tcPr>
            <w:tcW w:w="350" w:type="pct"/>
            <w:tcBorders>
              <w:top w:val="nil"/>
              <w:left w:val="nil"/>
              <w:bottom w:val="nil"/>
              <w:right w:val="nil"/>
            </w:tcBorders>
            <w:shd w:val="clear" w:color="auto" w:fill="auto"/>
            <w:tcMar>
              <w:top w:w="72" w:type="dxa"/>
              <w:left w:w="144" w:type="dxa"/>
              <w:bottom w:w="72" w:type="dxa"/>
              <w:right w:w="144" w:type="dxa"/>
            </w:tcMar>
            <w:hideMark/>
          </w:tcPr>
          <w:p w14:paraId="75D4C981"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29.89</w:t>
            </w:r>
          </w:p>
        </w:tc>
        <w:tc>
          <w:tcPr>
            <w:tcW w:w="345" w:type="pct"/>
            <w:tcBorders>
              <w:top w:val="nil"/>
              <w:left w:val="nil"/>
              <w:bottom w:val="nil"/>
              <w:right w:val="nil"/>
            </w:tcBorders>
            <w:shd w:val="clear" w:color="auto" w:fill="auto"/>
            <w:tcMar>
              <w:top w:w="72" w:type="dxa"/>
              <w:left w:w="144" w:type="dxa"/>
              <w:bottom w:w="72" w:type="dxa"/>
              <w:right w:w="144" w:type="dxa"/>
            </w:tcMar>
            <w:hideMark/>
          </w:tcPr>
          <w:p w14:paraId="7F435E69"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11.72</w:t>
            </w:r>
          </w:p>
        </w:tc>
        <w:tc>
          <w:tcPr>
            <w:tcW w:w="583" w:type="pct"/>
            <w:tcBorders>
              <w:top w:val="nil"/>
              <w:left w:val="nil"/>
              <w:bottom w:val="nil"/>
              <w:right w:val="nil"/>
            </w:tcBorders>
            <w:shd w:val="clear" w:color="auto" w:fill="auto"/>
            <w:tcMar>
              <w:top w:w="72" w:type="dxa"/>
              <w:left w:w="144" w:type="dxa"/>
              <w:bottom w:w="72" w:type="dxa"/>
              <w:right w:w="144" w:type="dxa"/>
            </w:tcMar>
            <w:hideMark/>
          </w:tcPr>
          <w:p w14:paraId="5689DF59"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15 – 59</w:t>
            </w:r>
          </w:p>
        </w:tc>
        <w:tc>
          <w:tcPr>
            <w:tcW w:w="350" w:type="pct"/>
            <w:tcBorders>
              <w:top w:val="nil"/>
              <w:left w:val="nil"/>
              <w:bottom w:val="nil"/>
              <w:right w:val="nil"/>
            </w:tcBorders>
            <w:shd w:val="clear" w:color="auto" w:fill="auto"/>
            <w:tcMar>
              <w:top w:w="72" w:type="dxa"/>
              <w:left w:w="144" w:type="dxa"/>
              <w:bottom w:w="72" w:type="dxa"/>
              <w:right w:w="144" w:type="dxa"/>
            </w:tcMar>
            <w:hideMark/>
          </w:tcPr>
          <w:p w14:paraId="024A4742"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2.82</w:t>
            </w:r>
          </w:p>
        </w:tc>
        <w:tc>
          <w:tcPr>
            <w:tcW w:w="365" w:type="pct"/>
            <w:tcBorders>
              <w:top w:val="nil"/>
              <w:left w:val="nil"/>
              <w:bottom w:val="nil"/>
              <w:right w:val="nil"/>
            </w:tcBorders>
            <w:shd w:val="clear" w:color="auto" w:fill="auto"/>
            <w:tcMar>
              <w:top w:w="72" w:type="dxa"/>
              <w:left w:w="144" w:type="dxa"/>
              <w:bottom w:w="72" w:type="dxa"/>
              <w:right w:w="144" w:type="dxa"/>
            </w:tcMar>
            <w:hideMark/>
          </w:tcPr>
          <w:p w14:paraId="769C4DFE"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6.71</w:t>
            </w:r>
          </w:p>
        </w:tc>
        <w:tc>
          <w:tcPr>
            <w:tcW w:w="647" w:type="pct"/>
            <w:tcBorders>
              <w:top w:val="nil"/>
              <w:left w:val="nil"/>
              <w:bottom w:val="nil"/>
              <w:right w:val="nil"/>
            </w:tcBorders>
            <w:shd w:val="clear" w:color="auto" w:fill="auto"/>
            <w:tcMar>
              <w:top w:w="72" w:type="dxa"/>
              <w:left w:w="144" w:type="dxa"/>
              <w:bottom w:w="72" w:type="dxa"/>
              <w:right w:w="144" w:type="dxa"/>
            </w:tcMar>
            <w:hideMark/>
          </w:tcPr>
          <w:p w14:paraId="6569111E" w14:textId="77777777" w:rsidR="00AD0BB6" w:rsidRPr="00FF7CC5" w:rsidRDefault="00AD0BB6" w:rsidP="00A821F8">
            <w:pPr>
              <w:spacing w:after="0" w:line="240" w:lineRule="auto"/>
              <w:contextualSpacing/>
              <w:jc w:val="center"/>
              <w:rPr>
                <w:rFonts w:ascii="Times New Roman" w:hAnsi="Times New Roman" w:cs="Times New Roman"/>
                <w:sz w:val="24"/>
                <w:szCs w:val="24"/>
              </w:rPr>
            </w:pPr>
            <w:r w:rsidRPr="00FF7CC5">
              <w:rPr>
                <w:rFonts w:ascii="Times New Roman" w:hAnsi="Times New Roman" w:cs="Times New Roman"/>
                <w:sz w:val="24"/>
                <w:szCs w:val="24"/>
              </w:rPr>
              <w:t>-12 – 19</w:t>
            </w:r>
          </w:p>
        </w:tc>
      </w:tr>
    </w:tbl>
    <w:p w14:paraId="68D2B8CE" w14:textId="77777777" w:rsidR="00AD0BB6" w:rsidRPr="00FF7CC5" w:rsidRDefault="00AD0BB6" w:rsidP="00AD0BB6">
      <w:pPr>
        <w:spacing w:after="0" w:line="240" w:lineRule="auto"/>
        <w:jc w:val="both"/>
        <w:rPr>
          <w:rFonts w:ascii="Times New Roman" w:hAnsi="Times New Roman" w:cs="Times New Roman"/>
          <w:b/>
          <w:sz w:val="24"/>
          <w:szCs w:val="24"/>
        </w:rPr>
      </w:pPr>
    </w:p>
    <w:p w14:paraId="7708AC18" w14:textId="77777777" w:rsidR="00AD0BB6" w:rsidRPr="00FF7CC5" w:rsidRDefault="00AD0BB6" w:rsidP="00AD0BB6">
      <w:pPr>
        <w:spacing w:after="0" w:line="240" w:lineRule="auto"/>
        <w:jc w:val="both"/>
        <w:rPr>
          <w:rFonts w:ascii="Times New Roman" w:hAnsi="Times New Roman" w:cs="Times New Roman"/>
          <w:b/>
          <w:sz w:val="24"/>
          <w:szCs w:val="24"/>
        </w:rPr>
      </w:pPr>
    </w:p>
    <w:p w14:paraId="22BF1F30" w14:textId="77777777" w:rsidR="00AD0BB6" w:rsidRPr="00FF7CC5" w:rsidRDefault="00AD0BB6" w:rsidP="00AD0BB6">
      <w:pPr>
        <w:spacing w:after="0" w:line="240" w:lineRule="auto"/>
        <w:jc w:val="both"/>
        <w:rPr>
          <w:rFonts w:ascii="Times New Roman" w:hAnsi="Times New Roman" w:cs="Times New Roman"/>
          <w:b/>
          <w:sz w:val="24"/>
          <w:szCs w:val="24"/>
        </w:rPr>
      </w:pPr>
    </w:p>
    <w:p w14:paraId="191C41B1" w14:textId="77777777" w:rsidR="00AD0BB6" w:rsidRPr="00FF7CC5" w:rsidRDefault="00AD0BB6">
      <w:pPr>
        <w:rPr>
          <w:rFonts w:ascii="Times New Roman" w:hAnsi="Times New Roman" w:cs="Times New Roman"/>
          <w:b/>
          <w:sz w:val="24"/>
          <w:szCs w:val="24"/>
        </w:rPr>
      </w:pPr>
      <w:r w:rsidRPr="00FF7CC5">
        <w:rPr>
          <w:rFonts w:ascii="Times New Roman" w:hAnsi="Times New Roman" w:cs="Times New Roman"/>
          <w:b/>
          <w:sz w:val="24"/>
          <w:szCs w:val="24"/>
        </w:rPr>
        <w:br w:type="page"/>
      </w:r>
    </w:p>
    <w:p w14:paraId="6C10E130" w14:textId="77777777" w:rsidR="006F4E3F" w:rsidRPr="00FF7CC5" w:rsidRDefault="006F4E3F" w:rsidP="00AD0BB6">
      <w:pPr>
        <w:spacing w:after="0" w:line="240" w:lineRule="auto"/>
        <w:jc w:val="both"/>
        <w:rPr>
          <w:rFonts w:ascii="Times New Roman" w:hAnsi="Times New Roman" w:cs="Times New Roman"/>
          <w:b/>
          <w:sz w:val="24"/>
          <w:szCs w:val="24"/>
        </w:rPr>
        <w:sectPr w:rsidR="006F4E3F" w:rsidRPr="00FF7CC5" w:rsidSect="006F4E3F">
          <w:pgSz w:w="15840" w:h="12240" w:orient="landscape"/>
          <w:pgMar w:top="1440" w:right="1440" w:bottom="1440" w:left="1440" w:header="720" w:footer="720" w:gutter="0"/>
          <w:cols w:space="720"/>
          <w:docGrid w:linePitch="360"/>
        </w:sectPr>
      </w:pPr>
    </w:p>
    <w:p w14:paraId="5E9BEFFD" w14:textId="20677FE5" w:rsidR="00AD0BB6" w:rsidRPr="00FF7CC5" w:rsidRDefault="00AD0BB6" w:rsidP="00AD0BB6">
      <w:pPr>
        <w:spacing w:after="0" w:line="240" w:lineRule="auto"/>
        <w:jc w:val="both"/>
        <w:rPr>
          <w:rFonts w:ascii="Times New Roman" w:hAnsi="Times New Roman" w:cs="Times New Roman"/>
          <w:sz w:val="24"/>
          <w:szCs w:val="24"/>
        </w:rPr>
      </w:pPr>
      <w:r w:rsidRPr="00FF7CC5">
        <w:rPr>
          <w:rFonts w:ascii="Times New Roman" w:hAnsi="Times New Roman" w:cs="Times New Roman"/>
          <w:b/>
          <w:sz w:val="24"/>
          <w:szCs w:val="24"/>
        </w:rPr>
        <w:lastRenderedPageBreak/>
        <w:t>Table S</w:t>
      </w:r>
      <w:r w:rsidR="005F4917" w:rsidRPr="00FF7CC5">
        <w:rPr>
          <w:rFonts w:ascii="Times New Roman" w:hAnsi="Times New Roman" w:cs="Times New Roman"/>
          <w:b/>
          <w:sz w:val="24"/>
          <w:szCs w:val="24"/>
        </w:rPr>
        <w:t>4</w:t>
      </w:r>
      <w:r w:rsidRPr="00FF7CC5">
        <w:rPr>
          <w:rFonts w:ascii="Times New Roman" w:hAnsi="Times New Roman" w:cs="Times New Roman"/>
          <w:b/>
          <w:sz w:val="24"/>
          <w:szCs w:val="24"/>
        </w:rPr>
        <w:t>.</w:t>
      </w:r>
      <w:r w:rsidRPr="00FF7CC5">
        <w:rPr>
          <w:rFonts w:ascii="Times New Roman" w:hAnsi="Times New Roman" w:cs="Times New Roman"/>
          <w:sz w:val="24"/>
          <w:szCs w:val="24"/>
        </w:rPr>
        <w:t xml:space="preserve"> Correlation table showing associations between all variables of interest </w:t>
      </w:r>
      <w:proofErr w:type="gramStart"/>
      <w:r w:rsidRPr="00FF7CC5">
        <w:rPr>
          <w:rFonts w:ascii="Times New Roman" w:hAnsi="Times New Roman" w:cs="Times New Roman"/>
          <w:sz w:val="24"/>
          <w:szCs w:val="24"/>
        </w:rPr>
        <w:t>entered into</w:t>
      </w:r>
      <w:proofErr w:type="gramEnd"/>
      <w:r w:rsidRPr="00FF7CC5">
        <w:rPr>
          <w:rFonts w:ascii="Times New Roman" w:hAnsi="Times New Roman" w:cs="Times New Roman"/>
          <w:sz w:val="24"/>
          <w:szCs w:val="24"/>
        </w:rPr>
        <w:t xml:space="preserve"> the latent change score models.</w:t>
      </w:r>
    </w:p>
    <w:p w14:paraId="1F529900" w14:textId="77777777" w:rsidR="00AD0BB6" w:rsidRPr="00FF7CC5" w:rsidRDefault="00AD0BB6" w:rsidP="00AD0BB6">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21"/>
        <w:gridCol w:w="922"/>
        <w:gridCol w:w="922"/>
        <w:gridCol w:w="922"/>
        <w:gridCol w:w="922"/>
        <w:gridCol w:w="922"/>
        <w:gridCol w:w="922"/>
        <w:gridCol w:w="922"/>
      </w:tblGrid>
      <w:tr w:rsidR="00AD0BB6" w:rsidRPr="00FF7CC5" w14:paraId="749FCDC5" w14:textId="77777777" w:rsidTr="00A821F8">
        <w:tc>
          <w:tcPr>
            <w:tcW w:w="1975" w:type="dxa"/>
            <w:tcBorders>
              <w:bottom w:val="single" w:sz="4" w:space="0" w:color="auto"/>
            </w:tcBorders>
          </w:tcPr>
          <w:p w14:paraId="3EC4518B" w14:textId="77777777" w:rsidR="00AD0BB6" w:rsidRPr="00FF7CC5" w:rsidRDefault="00AD0BB6" w:rsidP="00A821F8">
            <w:pPr>
              <w:jc w:val="both"/>
              <w:rPr>
                <w:rFonts w:ascii="Times New Roman" w:hAnsi="Times New Roman" w:cs="Times New Roman"/>
                <w:sz w:val="24"/>
                <w:szCs w:val="24"/>
              </w:rPr>
            </w:pPr>
          </w:p>
        </w:tc>
        <w:tc>
          <w:tcPr>
            <w:tcW w:w="921" w:type="dxa"/>
            <w:tcBorders>
              <w:bottom w:val="single" w:sz="4" w:space="0" w:color="auto"/>
            </w:tcBorders>
          </w:tcPr>
          <w:p w14:paraId="0C791259"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1</w:t>
            </w:r>
          </w:p>
        </w:tc>
        <w:tc>
          <w:tcPr>
            <w:tcW w:w="922" w:type="dxa"/>
            <w:tcBorders>
              <w:bottom w:val="single" w:sz="4" w:space="0" w:color="auto"/>
            </w:tcBorders>
          </w:tcPr>
          <w:p w14:paraId="1BC19370"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2</w:t>
            </w:r>
          </w:p>
        </w:tc>
        <w:tc>
          <w:tcPr>
            <w:tcW w:w="922" w:type="dxa"/>
            <w:tcBorders>
              <w:bottom w:val="single" w:sz="4" w:space="0" w:color="auto"/>
            </w:tcBorders>
          </w:tcPr>
          <w:p w14:paraId="6C41DE84"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3</w:t>
            </w:r>
          </w:p>
        </w:tc>
        <w:tc>
          <w:tcPr>
            <w:tcW w:w="922" w:type="dxa"/>
            <w:tcBorders>
              <w:bottom w:val="single" w:sz="4" w:space="0" w:color="auto"/>
            </w:tcBorders>
          </w:tcPr>
          <w:p w14:paraId="36025BF3"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4</w:t>
            </w:r>
          </w:p>
        </w:tc>
        <w:tc>
          <w:tcPr>
            <w:tcW w:w="922" w:type="dxa"/>
            <w:tcBorders>
              <w:bottom w:val="single" w:sz="4" w:space="0" w:color="auto"/>
            </w:tcBorders>
          </w:tcPr>
          <w:p w14:paraId="138E45A2"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5</w:t>
            </w:r>
          </w:p>
        </w:tc>
        <w:tc>
          <w:tcPr>
            <w:tcW w:w="922" w:type="dxa"/>
            <w:tcBorders>
              <w:bottom w:val="single" w:sz="4" w:space="0" w:color="auto"/>
            </w:tcBorders>
          </w:tcPr>
          <w:p w14:paraId="54120ED9"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6</w:t>
            </w:r>
          </w:p>
        </w:tc>
        <w:tc>
          <w:tcPr>
            <w:tcW w:w="922" w:type="dxa"/>
            <w:tcBorders>
              <w:bottom w:val="single" w:sz="4" w:space="0" w:color="auto"/>
            </w:tcBorders>
          </w:tcPr>
          <w:p w14:paraId="53D0811C"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7</w:t>
            </w:r>
          </w:p>
        </w:tc>
        <w:tc>
          <w:tcPr>
            <w:tcW w:w="922" w:type="dxa"/>
            <w:tcBorders>
              <w:bottom w:val="single" w:sz="4" w:space="0" w:color="auto"/>
            </w:tcBorders>
          </w:tcPr>
          <w:p w14:paraId="00F5E6B1" w14:textId="77777777" w:rsidR="00AD0BB6" w:rsidRPr="00FF7CC5" w:rsidRDefault="00AD0BB6" w:rsidP="00A821F8">
            <w:pPr>
              <w:jc w:val="center"/>
              <w:rPr>
                <w:rFonts w:ascii="Times New Roman" w:hAnsi="Times New Roman" w:cs="Times New Roman"/>
                <w:b/>
                <w:sz w:val="24"/>
                <w:szCs w:val="24"/>
              </w:rPr>
            </w:pPr>
            <w:r w:rsidRPr="00FF7CC5">
              <w:rPr>
                <w:rFonts w:ascii="Times New Roman" w:hAnsi="Times New Roman" w:cs="Times New Roman"/>
                <w:b/>
                <w:sz w:val="24"/>
                <w:szCs w:val="24"/>
              </w:rPr>
              <w:t>8</w:t>
            </w:r>
          </w:p>
        </w:tc>
      </w:tr>
      <w:tr w:rsidR="00AD0BB6" w:rsidRPr="00FF7CC5" w14:paraId="6C503076" w14:textId="77777777" w:rsidTr="00A821F8">
        <w:tc>
          <w:tcPr>
            <w:tcW w:w="1975" w:type="dxa"/>
            <w:tcBorders>
              <w:top w:val="single" w:sz="4" w:space="0" w:color="auto"/>
            </w:tcBorders>
          </w:tcPr>
          <w:p w14:paraId="31A5E49F"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1. Pre-Cortisol</w:t>
            </w:r>
          </w:p>
        </w:tc>
        <w:tc>
          <w:tcPr>
            <w:tcW w:w="921" w:type="dxa"/>
            <w:tcBorders>
              <w:top w:val="single" w:sz="4" w:space="0" w:color="auto"/>
            </w:tcBorders>
          </w:tcPr>
          <w:p w14:paraId="444075E9"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922" w:type="dxa"/>
            <w:tcBorders>
              <w:top w:val="single" w:sz="4" w:space="0" w:color="auto"/>
            </w:tcBorders>
          </w:tcPr>
          <w:p w14:paraId="77F856CA" w14:textId="77777777" w:rsidR="00AD0BB6" w:rsidRPr="00FF7CC5" w:rsidRDefault="00AD0BB6" w:rsidP="00A821F8">
            <w:pPr>
              <w:jc w:val="center"/>
              <w:rPr>
                <w:rFonts w:ascii="Times New Roman" w:hAnsi="Times New Roman" w:cs="Times New Roman"/>
                <w:sz w:val="24"/>
                <w:szCs w:val="24"/>
              </w:rPr>
            </w:pPr>
          </w:p>
        </w:tc>
        <w:tc>
          <w:tcPr>
            <w:tcW w:w="922" w:type="dxa"/>
            <w:tcBorders>
              <w:top w:val="single" w:sz="4" w:space="0" w:color="auto"/>
            </w:tcBorders>
          </w:tcPr>
          <w:p w14:paraId="0D2679D9" w14:textId="77777777" w:rsidR="00AD0BB6" w:rsidRPr="00FF7CC5" w:rsidRDefault="00AD0BB6" w:rsidP="00A821F8">
            <w:pPr>
              <w:jc w:val="center"/>
              <w:rPr>
                <w:rFonts w:ascii="Times New Roman" w:hAnsi="Times New Roman" w:cs="Times New Roman"/>
                <w:sz w:val="24"/>
                <w:szCs w:val="24"/>
              </w:rPr>
            </w:pPr>
          </w:p>
        </w:tc>
        <w:tc>
          <w:tcPr>
            <w:tcW w:w="922" w:type="dxa"/>
            <w:tcBorders>
              <w:top w:val="single" w:sz="4" w:space="0" w:color="auto"/>
            </w:tcBorders>
          </w:tcPr>
          <w:p w14:paraId="181D340E" w14:textId="77777777" w:rsidR="00AD0BB6" w:rsidRPr="00FF7CC5" w:rsidRDefault="00AD0BB6" w:rsidP="00A821F8">
            <w:pPr>
              <w:jc w:val="center"/>
              <w:rPr>
                <w:rFonts w:ascii="Times New Roman" w:hAnsi="Times New Roman" w:cs="Times New Roman"/>
                <w:sz w:val="24"/>
                <w:szCs w:val="24"/>
              </w:rPr>
            </w:pPr>
          </w:p>
        </w:tc>
        <w:tc>
          <w:tcPr>
            <w:tcW w:w="922" w:type="dxa"/>
            <w:tcBorders>
              <w:top w:val="single" w:sz="4" w:space="0" w:color="auto"/>
            </w:tcBorders>
          </w:tcPr>
          <w:p w14:paraId="3362B5BC" w14:textId="77777777" w:rsidR="00AD0BB6" w:rsidRPr="00FF7CC5" w:rsidRDefault="00AD0BB6" w:rsidP="00A821F8">
            <w:pPr>
              <w:jc w:val="center"/>
              <w:rPr>
                <w:rFonts w:ascii="Times New Roman" w:hAnsi="Times New Roman" w:cs="Times New Roman"/>
                <w:sz w:val="24"/>
                <w:szCs w:val="24"/>
              </w:rPr>
            </w:pPr>
          </w:p>
        </w:tc>
        <w:tc>
          <w:tcPr>
            <w:tcW w:w="922" w:type="dxa"/>
            <w:tcBorders>
              <w:top w:val="single" w:sz="4" w:space="0" w:color="auto"/>
            </w:tcBorders>
          </w:tcPr>
          <w:p w14:paraId="6CE2AD0F" w14:textId="77777777" w:rsidR="00AD0BB6" w:rsidRPr="00FF7CC5" w:rsidRDefault="00AD0BB6" w:rsidP="00A821F8">
            <w:pPr>
              <w:jc w:val="center"/>
              <w:rPr>
                <w:rFonts w:ascii="Times New Roman" w:hAnsi="Times New Roman" w:cs="Times New Roman"/>
                <w:sz w:val="24"/>
                <w:szCs w:val="24"/>
              </w:rPr>
            </w:pPr>
          </w:p>
        </w:tc>
        <w:tc>
          <w:tcPr>
            <w:tcW w:w="922" w:type="dxa"/>
            <w:tcBorders>
              <w:top w:val="single" w:sz="4" w:space="0" w:color="auto"/>
            </w:tcBorders>
          </w:tcPr>
          <w:p w14:paraId="4F160864" w14:textId="77777777" w:rsidR="00AD0BB6" w:rsidRPr="00FF7CC5" w:rsidRDefault="00AD0BB6" w:rsidP="00A821F8">
            <w:pPr>
              <w:jc w:val="center"/>
              <w:rPr>
                <w:rFonts w:ascii="Times New Roman" w:hAnsi="Times New Roman" w:cs="Times New Roman"/>
                <w:sz w:val="24"/>
                <w:szCs w:val="24"/>
              </w:rPr>
            </w:pPr>
          </w:p>
        </w:tc>
        <w:tc>
          <w:tcPr>
            <w:tcW w:w="922" w:type="dxa"/>
            <w:tcBorders>
              <w:top w:val="single" w:sz="4" w:space="0" w:color="auto"/>
            </w:tcBorders>
          </w:tcPr>
          <w:p w14:paraId="1B4CCC8E" w14:textId="77777777" w:rsidR="00AD0BB6" w:rsidRPr="00FF7CC5" w:rsidRDefault="00AD0BB6" w:rsidP="00A821F8">
            <w:pPr>
              <w:jc w:val="center"/>
              <w:rPr>
                <w:rFonts w:ascii="Times New Roman" w:hAnsi="Times New Roman" w:cs="Times New Roman"/>
                <w:sz w:val="24"/>
                <w:szCs w:val="24"/>
              </w:rPr>
            </w:pPr>
          </w:p>
        </w:tc>
      </w:tr>
      <w:tr w:rsidR="00AD0BB6" w:rsidRPr="00FF7CC5" w14:paraId="723CB347" w14:textId="77777777" w:rsidTr="00A821F8">
        <w:tc>
          <w:tcPr>
            <w:tcW w:w="1975" w:type="dxa"/>
          </w:tcPr>
          <w:p w14:paraId="5B6006A4"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2. Pre-Positive</w:t>
            </w:r>
          </w:p>
        </w:tc>
        <w:tc>
          <w:tcPr>
            <w:tcW w:w="921" w:type="dxa"/>
          </w:tcPr>
          <w:p w14:paraId="0DEBB173"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-.05</w:t>
            </w:r>
          </w:p>
        </w:tc>
        <w:tc>
          <w:tcPr>
            <w:tcW w:w="922" w:type="dxa"/>
          </w:tcPr>
          <w:p w14:paraId="26034386"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922" w:type="dxa"/>
          </w:tcPr>
          <w:p w14:paraId="66422EBD" w14:textId="77777777" w:rsidR="00AD0BB6" w:rsidRPr="00FF7CC5" w:rsidRDefault="00AD0BB6" w:rsidP="00A821F8">
            <w:pPr>
              <w:jc w:val="center"/>
              <w:rPr>
                <w:rFonts w:ascii="Times New Roman" w:hAnsi="Times New Roman" w:cs="Times New Roman"/>
                <w:sz w:val="24"/>
                <w:szCs w:val="24"/>
              </w:rPr>
            </w:pPr>
          </w:p>
        </w:tc>
        <w:tc>
          <w:tcPr>
            <w:tcW w:w="922" w:type="dxa"/>
          </w:tcPr>
          <w:p w14:paraId="1407F84E" w14:textId="77777777" w:rsidR="00AD0BB6" w:rsidRPr="00FF7CC5" w:rsidRDefault="00AD0BB6" w:rsidP="00A821F8">
            <w:pPr>
              <w:jc w:val="center"/>
              <w:rPr>
                <w:rFonts w:ascii="Times New Roman" w:hAnsi="Times New Roman" w:cs="Times New Roman"/>
                <w:sz w:val="24"/>
                <w:szCs w:val="24"/>
              </w:rPr>
            </w:pPr>
          </w:p>
        </w:tc>
        <w:tc>
          <w:tcPr>
            <w:tcW w:w="922" w:type="dxa"/>
          </w:tcPr>
          <w:p w14:paraId="10CD948B" w14:textId="77777777" w:rsidR="00AD0BB6" w:rsidRPr="00FF7CC5" w:rsidRDefault="00AD0BB6" w:rsidP="00A821F8">
            <w:pPr>
              <w:jc w:val="center"/>
              <w:rPr>
                <w:rFonts w:ascii="Times New Roman" w:hAnsi="Times New Roman" w:cs="Times New Roman"/>
                <w:sz w:val="24"/>
                <w:szCs w:val="24"/>
              </w:rPr>
            </w:pPr>
          </w:p>
        </w:tc>
        <w:tc>
          <w:tcPr>
            <w:tcW w:w="922" w:type="dxa"/>
          </w:tcPr>
          <w:p w14:paraId="39C8418F" w14:textId="77777777" w:rsidR="00AD0BB6" w:rsidRPr="00FF7CC5" w:rsidRDefault="00AD0BB6" w:rsidP="00A821F8">
            <w:pPr>
              <w:jc w:val="center"/>
              <w:rPr>
                <w:rFonts w:ascii="Times New Roman" w:hAnsi="Times New Roman" w:cs="Times New Roman"/>
                <w:sz w:val="24"/>
                <w:szCs w:val="24"/>
              </w:rPr>
            </w:pPr>
          </w:p>
        </w:tc>
        <w:tc>
          <w:tcPr>
            <w:tcW w:w="922" w:type="dxa"/>
          </w:tcPr>
          <w:p w14:paraId="5287D31B" w14:textId="77777777" w:rsidR="00AD0BB6" w:rsidRPr="00FF7CC5" w:rsidRDefault="00AD0BB6" w:rsidP="00A821F8">
            <w:pPr>
              <w:jc w:val="center"/>
              <w:rPr>
                <w:rFonts w:ascii="Times New Roman" w:hAnsi="Times New Roman" w:cs="Times New Roman"/>
                <w:sz w:val="24"/>
                <w:szCs w:val="24"/>
              </w:rPr>
            </w:pPr>
          </w:p>
        </w:tc>
        <w:tc>
          <w:tcPr>
            <w:tcW w:w="922" w:type="dxa"/>
          </w:tcPr>
          <w:p w14:paraId="3FBA8993" w14:textId="77777777" w:rsidR="00AD0BB6" w:rsidRPr="00FF7CC5" w:rsidRDefault="00AD0BB6" w:rsidP="00A821F8">
            <w:pPr>
              <w:jc w:val="center"/>
              <w:rPr>
                <w:rFonts w:ascii="Times New Roman" w:hAnsi="Times New Roman" w:cs="Times New Roman"/>
                <w:sz w:val="24"/>
                <w:szCs w:val="24"/>
              </w:rPr>
            </w:pPr>
          </w:p>
        </w:tc>
      </w:tr>
      <w:tr w:rsidR="00AD0BB6" w:rsidRPr="00FF7CC5" w14:paraId="363D2F9F" w14:textId="77777777" w:rsidTr="00A821F8">
        <w:tc>
          <w:tcPr>
            <w:tcW w:w="1975" w:type="dxa"/>
          </w:tcPr>
          <w:p w14:paraId="1DB693B2"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3. Pre-Negative</w:t>
            </w:r>
          </w:p>
        </w:tc>
        <w:tc>
          <w:tcPr>
            <w:tcW w:w="921" w:type="dxa"/>
          </w:tcPr>
          <w:p w14:paraId="004CD28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-.22</w:t>
            </w:r>
          </w:p>
        </w:tc>
        <w:tc>
          <w:tcPr>
            <w:tcW w:w="922" w:type="dxa"/>
          </w:tcPr>
          <w:p w14:paraId="1E356E1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-.24</w:t>
            </w:r>
          </w:p>
        </w:tc>
        <w:tc>
          <w:tcPr>
            <w:tcW w:w="922" w:type="dxa"/>
          </w:tcPr>
          <w:p w14:paraId="02CD5B87"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922" w:type="dxa"/>
          </w:tcPr>
          <w:p w14:paraId="1B3CEC83" w14:textId="77777777" w:rsidR="00AD0BB6" w:rsidRPr="00FF7CC5" w:rsidRDefault="00AD0BB6" w:rsidP="00A821F8">
            <w:pPr>
              <w:jc w:val="center"/>
              <w:rPr>
                <w:rFonts w:ascii="Times New Roman" w:hAnsi="Times New Roman" w:cs="Times New Roman"/>
                <w:sz w:val="24"/>
                <w:szCs w:val="24"/>
              </w:rPr>
            </w:pPr>
          </w:p>
        </w:tc>
        <w:tc>
          <w:tcPr>
            <w:tcW w:w="922" w:type="dxa"/>
          </w:tcPr>
          <w:p w14:paraId="0B4A265A" w14:textId="77777777" w:rsidR="00AD0BB6" w:rsidRPr="00FF7CC5" w:rsidRDefault="00AD0BB6" w:rsidP="00A821F8">
            <w:pPr>
              <w:jc w:val="center"/>
              <w:rPr>
                <w:rFonts w:ascii="Times New Roman" w:hAnsi="Times New Roman" w:cs="Times New Roman"/>
                <w:sz w:val="24"/>
                <w:szCs w:val="24"/>
              </w:rPr>
            </w:pPr>
          </w:p>
        </w:tc>
        <w:tc>
          <w:tcPr>
            <w:tcW w:w="922" w:type="dxa"/>
          </w:tcPr>
          <w:p w14:paraId="36ADFD1F" w14:textId="77777777" w:rsidR="00AD0BB6" w:rsidRPr="00FF7CC5" w:rsidRDefault="00AD0BB6" w:rsidP="00A821F8">
            <w:pPr>
              <w:jc w:val="center"/>
              <w:rPr>
                <w:rFonts w:ascii="Times New Roman" w:hAnsi="Times New Roman" w:cs="Times New Roman"/>
                <w:sz w:val="24"/>
                <w:szCs w:val="24"/>
              </w:rPr>
            </w:pPr>
          </w:p>
        </w:tc>
        <w:tc>
          <w:tcPr>
            <w:tcW w:w="922" w:type="dxa"/>
          </w:tcPr>
          <w:p w14:paraId="4BD47177" w14:textId="77777777" w:rsidR="00AD0BB6" w:rsidRPr="00FF7CC5" w:rsidRDefault="00AD0BB6" w:rsidP="00A821F8">
            <w:pPr>
              <w:jc w:val="center"/>
              <w:rPr>
                <w:rFonts w:ascii="Times New Roman" w:hAnsi="Times New Roman" w:cs="Times New Roman"/>
                <w:sz w:val="24"/>
                <w:szCs w:val="24"/>
              </w:rPr>
            </w:pPr>
          </w:p>
        </w:tc>
        <w:tc>
          <w:tcPr>
            <w:tcW w:w="922" w:type="dxa"/>
          </w:tcPr>
          <w:p w14:paraId="3011CEF4" w14:textId="77777777" w:rsidR="00AD0BB6" w:rsidRPr="00FF7CC5" w:rsidRDefault="00AD0BB6" w:rsidP="00A821F8">
            <w:pPr>
              <w:jc w:val="center"/>
              <w:rPr>
                <w:rFonts w:ascii="Times New Roman" w:hAnsi="Times New Roman" w:cs="Times New Roman"/>
                <w:sz w:val="24"/>
                <w:szCs w:val="24"/>
              </w:rPr>
            </w:pPr>
          </w:p>
        </w:tc>
      </w:tr>
      <w:tr w:rsidR="00AD0BB6" w:rsidRPr="00FF7CC5" w14:paraId="01DE43E8" w14:textId="77777777" w:rsidTr="00A821F8">
        <w:tc>
          <w:tcPr>
            <w:tcW w:w="1975" w:type="dxa"/>
          </w:tcPr>
          <w:p w14:paraId="6458BD74"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 xml:space="preserve">4. </w:t>
            </w:r>
            <w:proofErr w:type="gramStart"/>
            <w:r w:rsidRPr="00FF7CC5">
              <w:rPr>
                <w:rFonts w:ascii="Times New Roman" w:hAnsi="Times New Roman" w:cs="Times New Roman"/>
                <w:b/>
                <w:sz w:val="24"/>
                <w:szCs w:val="24"/>
              </w:rPr>
              <w:t>Post-Cortisol</w:t>
            </w:r>
            <w:proofErr w:type="gramEnd"/>
          </w:p>
        </w:tc>
        <w:tc>
          <w:tcPr>
            <w:tcW w:w="921" w:type="dxa"/>
          </w:tcPr>
          <w:p w14:paraId="3B68EB0D"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.35</w:t>
            </w:r>
            <w:r w:rsidRPr="00FF7CC5">
              <w:rPr>
                <w:rFonts w:ascii="Times New Roman" w:hAnsi="Times New Roman" w:cs="Times New Roman"/>
                <w:sz w:val="24"/>
                <w:szCs w:val="24"/>
                <w:vertAlign w:val="superscript"/>
              </w:rPr>
              <w:t>*</w:t>
            </w:r>
          </w:p>
        </w:tc>
        <w:tc>
          <w:tcPr>
            <w:tcW w:w="922" w:type="dxa"/>
          </w:tcPr>
          <w:p w14:paraId="430E1861"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-.003</w:t>
            </w:r>
          </w:p>
        </w:tc>
        <w:tc>
          <w:tcPr>
            <w:tcW w:w="922" w:type="dxa"/>
          </w:tcPr>
          <w:p w14:paraId="0ECA261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-.06</w:t>
            </w:r>
          </w:p>
        </w:tc>
        <w:tc>
          <w:tcPr>
            <w:tcW w:w="922" w:type="dxa"/>
          </w:tcPr>
          <w:p w14:paraId="7C242CEC"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922" w:type="dxa"/>
          </w:tcPr>
          <w:p w14:paraId="12DC6182" w14:textId="77777777" w:rsidR="00AD0BB6" w:rsidRPr="00FF7CC5" w:rsidRDefault="00AD0BB6" w:rsidP="00A821F8">
            <w:pPr>
              <w:jc w:val="center"/>
              <w:rPr>
                <w:rFonts w:ascii="Times New Roman" w:hAnsi="Times New Roman" w:cs="Times New Roman"/>
                <w:sz w:val="24"/>
                <w:szCs w:val="24"/>
              </w:rPr>
            </w:pPr>
          </w:p>
        </w:tc>
        <w:tc>
          <w:tcPr>
            <w:tcW w:w="922" w:type="dxa"/>
          </w:tcPr>
          <w:p w14:paraId="2B9570CD" w14:textId="77777777" w:rsidR="00AD0BB6" w:rsidRPr="00FF7CC5" w:rsidRDefault="00AD0BB6" w:rsidP="00A821F8">
            <w:pPr>
              <w:jc w:val="center"/>
              <w:rPr>
                <w:rFonts w:ascii="Times New Roman" w:hAnsi="Times New Roman" w:cs="Times New Roman"/>
                <w:sz w:val="24"/>
                <w:szCs w:val="24"/>
              </w:rPr>
            </w:pPr>
          </w:p>
        </w:tc>
        <w:tc>
          <w:tcPr>
            <w:tcW w:w="922" w:type="dxa"/>
          </w:tcPr>
          <w:p w14:paraId="1F152145" w14:textId="77777777" w:rsidR="00AD0BB6" w:rsidRPr="00FF7CC5" w:rsidRDefault="00AD0BB6" w:rsidP="00A821F8">
            <w:pPr>
              <w:jc w:val="center"/>
              <w:rPr>
                <w:rFonts w:ascii="Times New Roman" w:hAnsi="Times New Roman" w:cs="Times New Roman"/>
                <w:sz w:val="24"/>
                <w:szCs w:val="24"/>
              </w:rPr>
            </w:pPr>
          </w:p>
        </w:tc>
        <w:tc>
          <w:tcPr>
            <w:tcW w:w="922" w:type="dxa"/>
          </w:tcPr>
          <w:p w14:paraId="08AA21C5" w14:textId="77777777" w:rsidR="00AD0BB6" w:rsidRPr="00FF7CC5" w:rsidRDefault="00AD0BB6" w:rsidP="00A821F8">
            <w:pPr>
              <w:jc w:val="center"/>
              <w:rPr>
                <w:rFonts w:ascii="Times New Roman" w:hAnsi="Times New Roman" w:cs="Times New Roman"/>
                <w:sz w:val="24"/>
                <w:szCs w:val="24"/>
              </w:rPr>
            </w:pPr>
          </w:p>
        </w:tc>
      </w:tr>
      <w:tr w:rsidR="00AD0BB6" w:rsidRPr="00FF7CC5" w14:paraId="21E9DAC9" w14:textId="77777777" w:rsidTr="00A821F8">
        <w:tc>
          <w:tcPr>
            <w:tcW w:w="1975" w:type="dxa"/>
          </w:tcPr>
          <w:p w14:paraId="46DFDDBE"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 xml:space="preserve">5. </w:t>
            </w:r>
            <w:proofErr w:type="gramStart"/>
            <w:r w:rsidRPr="00FF7CC5">
              <w:rPr>
                <w:rFonts w:ascii="Times New Roman" w:hAnsi="Times New Roman" w:cs="Times New Roman"/>
                <w:b/>
                <w:sz w:val="24"/>
                <w:szCs w:val="24"/>
              </w:rPr>
              <w:t>Post-Positive</w:t>
            </w:r>
            <w:proofErr w:type="gramEnd"/>
          </w:p>
        </w:tc>
        <w:tc>
          <w:tcPr>
            <w:tcW w:w="921" w:type="dxa"/>
          </w:tcPr>
          <w:p w14:paraId="154AA04A"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-.06</w:t>
            </w:r>
          </w:p>
        </w:tc>
        <w:tc>
          <w:tcPr>
            <w:tcW w:w="922" w:type="dxa"/>
          </w:tcPr>
          <w:p w14:paraId="6AF3EE54"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.26</w:t>
            </w:r>
          </w:p>
        </w:tc>
        <w:tc>
          <w:tcPr>
            <w:tcW w:w="922" w:type="dxa"/>
          </w:tcPr>
          <w:p w14:paraId="2B0AF63E"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-.31</w:t>
            </w:r>
            <w:r w:rsidRPr="00FF7CC5">
              <w:rPr>
                <w:rFonts w:ascii="Times New Roman" w:hAnsi="Times New Roman" w:cs="Times New Roman"/>
                <w:sz w:val="24"/>
                <w:szCs w:val="24"/>
                <w:vertAlign w:val="superscript"/>
              </w:rPr>
              <w:t>*</w:t>
            </w:r>
          </w:p>
        </w:tc>
        <w:tc>
          <w:tcPr>
            <w:tcW w:w="922" w:type="dxa"/>
          </w:tcPr>
          <w:p w14:paraId="5E956763"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-.18</w:t>
            </w:r>
          </w:p>
        </w:tc>
        <w:tc>
          <w:tcPr>
            <w:tcW w:w="922" w:type="dxa"/>
          </w:tcPr>
          <w:p w14:paraId="24AC2A04"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922" w:type="dxa"/>
          </w:tcPr>
          <w:p w14:paraId="7BD4A840" w14:textId="77777777" w:rsidR="00AD0BB6" w:rsidRPr="00FF7CC5" w:rsidRDefault="00AD0BB6" w:rsidP="00A821F8">
            <w:pPr>
              <w:jc w:val="center"/>
              <w:rPr>
                <w:rFonts w:ascii="Times New Roman" w:hAnsi="Times New Roman" w:cs="Times New Roman"/>
                <w:sz w:val="24"/>
                <w:szCs w:val="24"/>
              </w:rPr>
            </w:pPr>
          </w:p>
        </w:tc>
        <w:tc>
          <w:tcPr>
            <w:tcW w:w="922" w:type="dxa"/>
          </w:tcPr>
          <w:p w14:paraId="2847A66C" w14:textId="77777777" w:rsidR="00AD0BB6" w:rsidRPr="00FF7CC5" w:rsidRDefault="00AD0BB6" w:rsidP="00A821F8">
            <w:pPr>
              <w:jc w:val="center"/>
              <w:rPr>
                <w:rFonts w:ascii="Times New Roman" w:hAnsi="Times New Roman" w:cs="Times New Roman"/>
                <w:sz w:val="24"/>
                <w:szCs w:val="24"/>
              </w:rPr>
            </w:pPr>
          </w:p>
        </w:tc>
        <w:tc>
          <w:tcPr>
            <w:tcW w:w="922" w:type="dxa"/>
          </w:tcPr>
          <w:p w14:paraId="5FC84AC9" w14:textId="77777777" w:rsidR="00AD0BB6" w:rsidRPr="00FF7CC5" w:rsidRDefault="00AD0BB6" w:rsidP="00A821F8">
            <w:pPr>
              <w:jc w:val="center"/>
              <w:rPr>
                <w:rFonts w:ascii="Times New Roman" w:hAnsi="Times New Roman" w:cs="Times New Roman"/>
                <w:sz w:val="24"/>
                <w:szCs w:val="24"/>
              </w:rPr>
            </w:pPr>
          </w:p>
        </w:tc>
      </w:tr>
      <w:tr w:rsidR="00AD0BB6" w:rsidRPr="00FF7CC5" w14:paraId="4FB98A10" w14:textId="77777777" w:rsidTr="00A821F8">
        <w:tc>
          <w:tcPr>
            <w:tcW w:w="1975" w:type="dxa"/>
          </w:tcPr>
          <w:p w14:paraId="237B1BBA"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 xml:space="preserve">6. </w:t>
            </w:r>
            <w:proofErr w:type="gramStart"/>
            <w:r w:rsidRPr="00FF7CC5">
              <w:rPr>
                <w:rFonts w:ascii="Times New Roman" w:hAnsi="Times New Roman" w:cs="Times New Roman"/>
                <w:b/>
                <w:sz w:val="24"/>
                <w:szCs w:val="24"/>
              </w:rPr>
              <w:t>Post-Negative</w:t>
            </w:r>
            <w:proofErr w:type="gramEnd"/>
          </w:p>
        </w:tc>
        <w:tc>
          <w:tcPr>
            <w:tcW w:w="921" w:type="dxa"/>
          </w:tcPr>
          <w:p w14:paraId="44E365B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-.20</w:t>
            </w:r>
          </w:p>
        </w:tc>
        <w:tc>
          <w:tcPr>
            <w:tcW w:w="922" w:type="dxa"/>
          </w:tcPr>
          <w:p w14:paraId="62C211B1"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-.02</w:t>
            </w:r>
          </w:p>
        </w:tc>
        <w:tc>
          <w:tcPr>
            <w:tcW w:w="922" w:type="dxa"/>
          </w:tcPr>
          <w:p w14:paraId="4A2DA8F0"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.83</w:t>
            </w:r>
            <w:r w:rsidRPr="00FF7CC5">
              <w:rPr>
                <w:rFonts w:ascii="Times New Roman" w:hAnsi="Times New Roman" w:cs="Times New Roman"/>
                <w:sz w:val="24"/>
                <w:szCs w:val="24"/>
                <w:vertAlign w:val="superscript"/>
              </w:rPr>
              <w:t>***</w:t>
            </w:r>
          </w:p>
        </w:tc>
        <w:tc>
          <w:tcPr>
            <w:tcW w:w="922" w:type="dxa"/>
          </w:tcPr>
          <w:p w14:paraId="54B6DFC5"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.09</w:t>
            </w:r>
          </w:p>
        </w:tc>
        <w:tc>
          <w:tcPr>
            <w:tcW w:w="922" w:type="dxa"/>
          </w:tcPr>
          <w:p w14:paraId="06B36794"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-.56</w:t>
            </w:r>
            <w:r w:rsidRPr="00FF7CC5">
              <w:rPr>
                <w:rFonts w:ascii="Times New Roman" w:hAnsi="Times New Roman" w:cs="Times New Roman"/>
                <w:sz w:val="24"/>
                <w:szCs w:val="24"/>
                <w:vertAlign w:val="superscript"/>
              </w:rPr>
              <w:t>***</w:t>
            </w:r>
          </w:p>
        </w:tc>
        <w:tc>
          <w:tcPr>
            <w:tcW w:w="922" w:type="dxa"/>
          </w:tcPr>
          <w:p w14:paraId="2B99588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922" w:type="dxa"/>
          </w:tcPr>
          <w:p w14:paraId="34E622FD" w14:textId="77777777" w:rsidR="00AD0BB6" w:rsidRPr="00FF7CC5" w:rsidRDefault="00AD0BB6" w:rsidP="00A821F8">
            <w:pPr>
              <w:jc w:val="center"/>
              <w:rPr>
                <w:rFonts w:ascii="Times New Roman" w:hAnsi="Times New Roman" w:cs="Times New Roman"/>
                <w:sz w:val="24"/>
                <w:szCs w:val="24"/>
              </w:rPr>
            </w:pPr>
          </w:p>
        </w:tc>
        <w:tc>
          <w:tcPr>
            <w:tcW w:w="922" w:type="dxa"/>
          </w:tcPr>
          <w:p w14:paraId="7BD9059E" w14:textId="77777777" w:rsidR="00AD0BB6" w:rsidRPr="00FF7CC5" w:rsidRDefault="00AD0BB6" w:rsidP="00A821F8">
            <w:pPr>
              <w:jc w:val="center"/>
              <w:rPr>
                <w:rFonts w:ascii="Times New Roman" w:hAnsi="Times New Roman" w:cs="Times New Roman"/>
                <w:sz w:val="24"/>
                <w:szCs w:val="24"/>
              </w:rPr>
            </w:pPr>
          </w:p>
        </w:tc>
      </w:tr>
      <w:tr w:rsidR="00AD0BB6" w:rsidRPr="00FF7CC5" w14:paraId="520497F1" w14:textId="77777777" w:rsidTr="00A821F8">
        <w:tc>
          <w:tcPr>
            <w:tcW w:w="1975" w:type="dxa"/>
          </w:tcPr>
          <w:p w14:paraId="1BF277D5"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7. Age</w:t>
            </w:r>
          </w:p>
        </w:tc>
        <w:tc>
          <w:tcPr>
            <w:tcW w:w="921" w:type="dxa"/>
          </w:tcPr>
          <w:p w14:paraId="3FEBEF0F"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-.03</w:t>
            </w:r>
          </w:p>
        </w:tc>
        <w:tc>
          <w:tcPr>
            <w:tcW w:w="922" w:type="dxa"/>
          </w:tcPr>
          <w:p w14:paraId="593EF3A1"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-.16</w:t>
            </w:r>
          </w:p>
        </w:tc>
        <w:tc>
          <w:tcPr>
            <w:tcW w:w="922" w:type="dxa"/>
          </w:tcPr>
          <w:p w14:paraId="5F1557E1"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-.19</w:t>
            </w:r>
          </w:p>
        </w:tc>
        <w:tc>
          <w:tcPr>
            <w:tcW w:w="922" w:type="dxa"/>
          </w:tcPr>
          <w:p w14:paraId="50D93E42"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.28</w:t>
            </w:r>
          </w:p>
        </w:tc>
        <w:tc>
          <w:tcPr>
            <w:tcW w:w="922" w:type="dxa"/>
          </w:tcPr>
          <w:p w14:paraId="39365CEB"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.26</w:t>
            </w:r>
          </w:p>
        </w:tc>
        <w:tc>
          <w:tcPr>
            <w:tcW w:w="922" w:type="dxa"/>
          </w:tcPr>
          <w:p w14:paraId="75976F45"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-.25</w:t>
            </w:r>
          </w:p>
        </w:tc>
        <w:tc>
          <w:tcPr>
            <w:tcW w:w="922" w:type="dxa"/>
          </w:tcPr>
          <w:p w14:paraId="4D94AA5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922" w:type="dxa"/>
          </w:tcPr>
          <w:p w14:paraId="5B57CA9C" w14:textId="77777777" w:rsidR="00AD0BB6" w:rsidRPr="00FF7CC5" w:rsidRDefault="00AD0BB6" w:rsidP="00A821F8">
            <w:pPr>
              <w:jc w:val="center"/>
              <w:rPr>
                <w:rFonts w:ascii="Times New Roman" w:hAnsi="Times New Roman" w:cs="Times New Roman"/>
                <w:sz w:val="24"/>
                <w:szCs w:val="24"/>
              </w:rPr>
            </w:pPr>
          </w:p>
        </w:tc>
      </w:tr>
      <w:tr w:rsidR="00AD0BB6" w:rsidRPr="00FF7CC5" w14:paraId="23447790" w14:textId="77777777" w:rsidTr="00A821F8">
        <w:tc>
          <w:tcPr>
            <w:tcW w:w="1975" w:type="dxa"/>
          </w:tcPr>
          <w:p w14:paraId="1545C727" w14:textId="77777777" w:rsidR="00AD0BB6" w:rsidRPr="00FF7CC5" w:rsidRDefault="00AD0BB6" w:rsidP="00A821F8">
            <w:pPr>
              <w:jc w:val="both"/>
              <w:rPr>
                <w:rFonts w:ascii="Times New Roman" w:hAnsi="Times New Roman" w:cs="Times New Roman"/>
                <w:b/>
                <w:sz w:val="24"/>
                <w:szCs w:val="24"/>
              </w:rPr>
            </w:pPr>
            <w:r w:rsidRPr="00FF7CC5">
              <w:rPr>
                <w:rFonts w:ascii="Times New Roman" w:hAnsi="Times New Roman" w:cs="Times New Roman"/>
                <w:b/>
                <w:sz w:val="24"/>
                <w:szCs w:val="24"/>
              </w:rPr>
              <w:t>8. Sex</w:t>
            </w:r>
          </w:p>
        </w:tc>
        <w:tc>
          <w:tcPr>
            <w:tcW w:w="921" w:type="dxa"/>
          </w:tcPr>
          <w:p w14:paraId="30F5EB66"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-.20</w:t>
            </w:r>
          </w:p>
        </w:tc>
        <w:tc>
          <w:tcPr>
            <w:tcW w:w="922" w:type="dxa"/>
          </w:tcPr>
          <w:p w14:paraId="655485CA"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.46</w:t>
            </w:r>
            <w:r w:rsidRPr="00FF7CC5">
              <w:rPr>
                <w:rFonts w:ascii="Times New Roman" w:hAnsi="Times New Roman" w:cs="Times New Roman"/>
                <w:sz w:val="24"/>
                <w:szCs w:val="24"/>
                <w:vertAlign w:val="superscript"/>
              </w:rPr>
              <w:t>**</w:t>
            </w:r>
          </w:p>
        </w:tc>
        <w:tc>
          <w:tcPr>
            <w:tcW w:w="922" w:type="dxa"/>
          </w:tcPr>
          <w:p w14:paraId="769D7923"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.10</w:t>
            </w:r>
          </w:p>
        </w:tc>
        <w:tc>
          <w:tcPr>
            <w:tcW w:w="922" w:type="dxa"/>
          </w:tcPr>
          <w:p w14:paraId="123D1CFE"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-.11</w:t>
            </w:r>
          </w:p>
        </w:tc>
        <w:tc>
          <w:tcPr>
            <w:tcW w:w="922" w:type="dxa"/>
          </w:tcPr>
          <w:p w14:paraId="4D8DF7B1"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-.02</w:t>
            </w:r>
          </w:p>
        </w:tc>
        <w:tc>
          <w:tcPr>
            <w:tcW w:w="922" w:type="dxa"/>
          </w:tcPr>
          <w:p w14:paraId="5A641CB6"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.30</w:t>
            </w:r>
            <w:r w:rsidRPr="00FF7CC5">
              <w:rPr>
                <w:rFonts w:ascii="Times New Roman" w:hAnsi="Times New Roman" w:cs="Times New Roman"/>
                <w:sz w:val="24"/>
                <w:szCs w:val="24"/>
                <w:vertAlign w:val="superscript"/>
              </w:rPr>
              <w:t>*</w:t>
            </w:r>
          </w:p>
        </w:tc>
        <w:tc>
          <w:tcPr>
            <w:tcW w:w="922" w:type="dxa"/>
          </w:tcPr>
          <w:p w14:paraId="4DAE6309"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-.33</w:t>
            </w:r>
            <w:r w:rsidRPr="00FF7CC5">
              <w:rPr>
                <w:rFonts w:ascii="Times New Roman" w:hAnsi="Times New Roman" w:cs="Times New Roman"/>
                <w:sz w:val="24"/>
                <w:szCs w:val="24"/>
                <w:vertAlign w:val="superscript"/>
              </w:rPr>
              <w:t>*</w:t>
            </w:r>
          </w:p>
        </w:tc>
        <w:tc>
          <w:tcPr>
            <w:tcW w:w="922" w:type="dxa"/>
          </w:tcPr>
          <w:p w14:paraId="361A1FD8" w14:textId="77777777" w:rsidR="00AD0BB6" w:rsidRPr="00FF7CC5" w:rsidRDefault="00AD0BB6" w:rsidP="00A821F8">
            <w:pPr>
              <w:jc w:val="center"/>
              <w:rPr>
                <w:rFonts w:ascii="Times New Roman" w:hAnsi="Times New Roman" w:cs="Times New Roman"/>
                <w:sz w:val="24"/>
                <w:szCs w:val="24"/>
              </w:rPr>
            </w:pPr>
            <w:r w:rsidRPr="00FF7CC5">
              <w:rPr>
                <w:rFonts w:ascii="Times New Roman" w:hAnsi="Times New Roman" w:cs="Times New Roman"/>
                <w:sz w:val="24"/>
                <w:szCs w:val="24"/>
              </w:rPr>
              <w:t>—</w:t>
            </w:r>
          </w:p>
        </w:tc>
      </w:tr>
    </w:tbl>
    <w:p w14:paraId="14AB9DD7" w14:textId="77777777" w:rsidR="00AD0BB6" w:rsidRPr="00FF7CC5" w:rsidRDefault="00AD0BB6" w:rsidP="00AD0BB6">
      <w:pPr>
        <w:spacing w:after="0" w:line="240" w:lineRule="auto"/>
        <w:jc w:val="both"/>
        <w:rPr>
          <w:rFonts w:ascii="Times New Roman" w:hAnsi="Times New Roman" w:cs="Times New Roman"/>
          <w:szCs w:val="24"/>
        </w:rPr>
      </w:pPr>
      <w:r w:rsidRPr="00FF7CC5">
        <w:rPr>
          <w:rFonts w:ascii="Times New Roman" w:hAnsi="Times New Roman" w:cs="Times New Roman"/>
          <w:szCs w:val="24"/>
        </w:rPr>
        <w:t xml:space="preserve">Note: sex was coded as 0 = male, 1 = female; </w:t>
      </w:r>
      <w:r w:rsidRPr="00FF7CC5">
        <w:rPr>
          <w:rFonts w:ascii="Times New Roman" w:hAnsi="Times New Roman" w:cs="Times New Roman"/>
          <w:i/>
          <w:szCs w:val="24"/>
          <w:vertAlign w:val="superscript"/>
        </w:rPr>
        <w:t>*</w:t>
      </w:r>
      <w:r w:rsidRPr="00FF7CC5">
        <w:rPr>
          <w:rFonts w:ascii="Times New Roman" w:hAnsi="Times New Roman" w:cs="Times New Roman"/>
          <w:i/>
          <w:szCs w:val="24"/>
        </w:rPr>
        <w:t xml:space="preserve"> p &lt; .05, </w:t>
      </w:r>
      <w:r w:rsidRPr="00FF7CC5">
        <w:rPr>
          <w:rFonts w:ascii="Times New Roman" w:hAnsi="Times New Roman" w:cs="Times New Roman"/>
          <w:szCs w:val="24"/>
          <w:vertAlign w:val="superscript"/>
        </w:rPr>
        <w:t>**</w:t>
      </w:r>
      <w:r w:rsidRPr="00FF7CC5">
        <w:rPr>
          <w:rFonts w:ascii="Times New Roman" w:hAnsi="Times New Roman" w:cs="Times New Roman"/>
          <w:szCs w:val="24"/>
        </w:rPr>
        <w:t xml:space="preserve"> </w:t>
      </w:r>
      <w:r w:rsidRPr="00FF7CC5">
        <w:rPr>
          <w:rFonts w:ascii="Times New Roman" w:hAnsi="Times New Roman" w:cs="Times New Roman"/>
          <w:i/>
          <w:szCs w:val="24"/>
        </w:rPr>
        <w:t>p</w:t>
      </w:r>
      <w:r w:rsidRPr="00FF7CC5">
        <w:rPr>
          <w:rFonts w:ascii="Times New Roman" w:hAnsi="Times New Roman" w:cs="Times New Roman"/>
          <w:szCs w:val="24"/>
        </w:rPr>
        <w:t xml:space="preserve"> &lt; .01, </w:t>
      </w:r>
      <w:r w:rsidRPr="00FF7CC5">
        <w:rPr>
          <w:rFonts w:ascii="Times New Roman" w:hAnsi="Times New Roman" w:cs="Times New Roman"/>
          <w:szCs w:val="24"/>
          <w:vertAlign w:val="superscript"/>
        </w:rPr>
        <w:t>***</w:t>
      </w:r>
      <w:r w:rsidRPr="00FF7CC5">
        <w:rPr>
          <w:rFonts w:ascii="Times New Roman" w:hAnsi="Times New Roman" w:cs="Times New Roman"/>
          <w:i/>
          <w:szCs w:val="24"/>
        </w:rPr>
        <w:t xml:space="preserve"> p</w:t>
      </w:r>
      <w:r w:rsidRPr="00FF7CC5">
        <w:rPr>
          <w:rFonts w:ascii="Times New Roman" w:hAnsi="Times New Roman" w:cs="Times New Roman"/>
          <w:szCs w:val="24"/>
        </w:rPr>
        <w:t xml:space="preserve"> &lt; .001</w:t>
      </w:r>
    </w:p>
    <w:p w14:paraId="16D3025F" w14:textId="77777777" w:rsidR="00964932" w:rsidRPr="00FF7CC5" w:rsidRDefault="00964932" w:rsidP="00AD0BB6">
      <w:pPr>
        <w:spacing w:after="0" w:line="240" w:lineRule="auto"/>
        <w:jc w:val="both"/>
        <w:rPr>
          <w:rFonts w:ascii="Times New Roman" w:hAnsi="Times New Roman" w:cs="Times New Roman"/>
          <w:szCs w:val="24"/>
        </w:rPr>
      </w:pPr>
    </w:p>
    <w:p w14:paraId="380EB201" w14:textId="77777777" w:rsidR="00964932" w:rsidRPr="00FF7CC5" w:rsidRDefault="00964932">
      <w:pPr>
        <w:rPr>
          <w:rFonts w:ascii="Times New Roman" w:hAnsi="Times New Roman" w:cs="Times New Roman"/>
          <w:szCs w:val="24"/>
        </w:rPr>
      </w:pPr>
      <w:r w:rsidRPr="00FF7CC5">
        <w:rPr>
          <w:rFonts w:ascii="Times New Roman" w:hAnsi="Times New Roman" w:cs="Times New Roman"/>
          <w:szCs w:val="24"/>
        </w:rPr>
        <w:br w:type="page"/>
      </w:r>
    </w:p>
    <w:p w14:paraId="26CFB2BF" w14:textId="3DA23D66" w:rsidR="00964932" w:rsidRPr="00FF7CC5" w:rsidRDefault="00964932" w:rsidP="00964932">
      <w:pPr>
        <w:spacing w:after="0" w:line="240" w:lineRule="auto"/>
        <w:jc w:val="both"/>
        <w:rPr>
          <w:rFonts w:ascii="Times New Roman" w:hAnsi="Times New Roman" w:cs="Times New Roman"/>
          <w:sz w:val="24"/>
          <w:szCs w:val="24"/>
        </w:rPr>
      </w:pPr>
      <w:r w:rsidRPr="00FF7CC5">
        <w:rPr>
          <w:rFonts w:ascii="Times New Roman" w:hAnsi="Times New Roman" w:cs="Times New Roman"/>
          <w:b/>
          <w:sz w:val="24"/>
          <w:szCs w:val="24"/>
        </w:rPr>
        <w:lastRenderedPageBreak/>
        <w:t>Table S</w:t>
      </w:r>
      <w:r w:rsidR="005F4917" w:rsidRPr="00FF7CC5">
        <w:rPr>
          <w:rFonts w:ascii="Times New Roman" w:hAnsi="Times New Roman" w:cs="Times New Roman"/>
          <w:b/>
          <w:sz w:val="24"/>
          <w:szCs w:val="24"/>
        </w:rPr>
        <w:t>5</w:t>
      </w:r>
      <w:r w:rsidRPr="00FF7CC5">
        <w:rPr>
          <w:rFonts w:ascii="Times New Roman" w:hAnsi="Times New Roman" w:cs="Times New Roman"/>
          <w:b/>
          <w:sz w:val="24"/>
          <w:szCs w:val="24"/>
        </w:rPr>
        <w:t>.</w:t>
      </w:r>
      <w:r w:rsidRPr="00FF7CC5">
        <w:rPr>
          <w:rFonts w:ascii="Times New Roman" w:hAnsi="Times New Roman" w:cs="Times New Roman"/>
          <w:sz w:val="24"/>
          <w:szCs w:val="24"/>
        </w:rPr>
        <w:t xml:space="preserve"> Model fit indices for the three variants of the latent change score models: the correlational model, the model in which perceived changes in positive and negative affect predict changes in hair cortisol concentrations (PANAS </w:t>
      </w:r>
      <w:r w:rsidRPr="00FF7CC5">
        <w:rPr>
          <w:rFonts w:ascii="Times New Roman" w:hAnsi="Times New Roman" w:cs="Times New Roman"/>
          <w:sz w:val="24"/>
          <w:szCs w:val="24"/>
        </w:rPr>
        <w:sym w:font="Wingdings" w:char="F0E0"/>
      </w:r>
      <w:r w:rsidRPr="00FF7CC5">
        <w:rPr>
          <w:rFonts w:ascii="Times New Roman" w:hAnsi="Times New Roman" w:cs="Times New Roman"/>
          <w:sz w:val="24"/>
          <w:szCs w:val="24"/>
        </w:rPr>
        <w:t xml:space="preserve"> HCC), and the model in which changes in hair cortisol concentrations predict perceived changes in affect (HCC </w:t>
      </w:r>
      <w:r w:rsidRPr="00FF7CC5">
        <w:rPr>
          <w:rFonts w:ascii="Times New Roman" w:hAnsi="Times New Roman" w:cs="Times New Roman"/>
          <w:sz w:val="24"/>
          <w:szCs w:val="24"/>
        </w:rPr>
        <w:sym w:font="Wingdings" w:char="F0E0"/>
      </w:r>
      <w:r w:rsidRPr="00FF7CC5">
        <w:rPr>
          <w:rFonts w:ascii="Times New Roman" w:hAnsi="Times New Roman" w:cs="Times New Roman"/>
          <w:sz w:val="24"/>
          <w:szCs w:val="24"/>
        </w:rPr>
        <w:t xml:space="preserve"> PANAS).</w:t>
      </w:r>
    </w:p>
    <w:p w14:paraId="09090FD3" w14:textId="77777777" w:rsidR="00964932" w:rsidRPr="00FF7CC5" w:rsidRDefault="00964932" w:rsidP="00964932">
      <w:pPr>
        <w:spacing w:after="0" w:line="240" w:lineRule="auto"/>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340"/>
        <w:gridCol w:w="2430"/>
        <w:gridCol w:w="2245"/>
      </w:tblGrid>
      <w:tr w:rsidR="00964932" w:rsidRPr="00FF7CC5" w14:paraId="5CA678EE" w14:textId="77777777" w:rsidTr="00224D2A">
        <w:trPr>
          <w:jc w:val="center"/>
        </w:trPr>
        <w:tc>
          <w:tcPr>
            <w:tcW w:w="1620" w:type="dxa"/>
            <w:tcBorders>
              <w:bottom w:val="single" w:sz="4" w:space="0" w:color="auto"/>
            </w:tcBorders>
          </w:tcPr>
          <w:p w14:paraId="3BB0BB3D" w14:textId="77777777" w:rsidR="00964932" w:rsidRPr="00FF7CC5" w:rsidRDefault="00964932" w:rsidP="00224D2A">
            <w:pPr>
              <w:jc w:val="both"/>
              <w:rPr>
                <w:rFonts w:ascii="Times New Roman" w:hAnsi="Times New Roman" w:cs="Times New Roman"/>
                <w:sz w:val="24"/>
                <w:szCs w:val="24"/>
              </w:rPr>
            </w:pPr>
          </w:p>
        </w:tc>
        <w:tc>
          <w:tcPr>
            <w:tcW w:w="2340" w:type="dxa"/>
            <w:tcBorders>
              <w:bottom w:val="single" w:sz="4" w:space="0" w:color="auto"/>
            </w:tcBorders>
          </w:tcPr>
          <w:p w14:paraId="060BE5BC" w14:textId="77777777" w:rsidR="00964932" w:rsidRPr="00FF7CC5" w:rsidRDefault="00964932" w:rsidP="00224D2A">
            <w:pPr>
              <w:jc w:val="center"/>
              <w:rPr>
                <w:rFonts w:ascii="Times New Roman" w:hAnsi="Times New Roman" w:cs="Times New Roman"/>
                <w:b/>
                <w:sz w:val="24"/>
                <w:szCs w:val="24"/>
              </w:rPr>
            </w:pPr>
            <w:r w:rsidRPr="00FF7CC5">
              <w:rPr>
                <w:rFonts w:ascii="Times New Roman" w:hAnsi="Times New Roman" w:cs="Times New Roman"/>
                <w:b/>
                <w:sz w:val="24"/>
                <w:szCs w:val="24"/>
              </w:rPr>
              <w:t>Correlational Model</w:t>
            </w:r>
          </w:p>
        </w:tc>
        <w:tc>
          <w:tcPr>
            <w:tcW w:w="2430" w:type="dxa"/>
            <w:tcBorders>
              <w:bottom w:val="single" w:sz="4" w:space="0" w:color="auto"/>
            </w:tcBorders>
          </w:tcPr>
          <w:p w14:paraId="11791738" w14:textId="77777777" w:rsidR="00964932" w:rsidRPr="00FF7CC5" w:rsidRDefault="00964932" w:rsidP="00224D2A">
            <w:pPr>
              <w:jc w:val="center"/>
              <w:rPr>
                <w:rFonts w:ascii="Times New Roman" w:hAnsi="Times New Roman" w:cs="Times New Roman"/>
                <w:b/>
                <w:sz w:val="24"/>
                <w:szCs w:val="24"/>
              </w:rPr>
            </w:pPr>
            <w:r w:rsidRPr="00FF7CC5">
              <w:rPr>
                <w:rFonts w:ascii="Times New Roman" w:hAnsi="Times New Roman" w:cs="Times New Roman"/>
                <w:b/>
                <w:sz w:val="24"/>
                <w:szCs w:val="24"/>
              </w:rPr>
              <w:t xml:space="preserve">PANAS </w:t>
            </w:r>
            <w:r w:rsidRPr="00FF7CC5">
              <w:rPr>
                <w:rFonts w:ascii="Times New Roman" w:hAnsi="Times New Roman" w:cs="Times New Roman"/>
                <w:b/>
                <w:sz w:val="24"/>
                <w:szCs w:val="24"/>
              </w:rPr>
              <w:sym w:font="Wingdings" w:char="F0E0"/>
            </w:r>
            <w:r w:rsidRPr="00FF7CC5">
              <w:rPr>
                <w:rFonts w:ascii="Times New Roman" w:hAnsi="Times New Roman" w:cs="Times New Roman"/>
                <w:b/>
                <w:sz w:val="24"/>
                <w:szCs w:val="24"/>
              </w:rPr>
              <w:t xml:space="preserve"> HCC</w:t>
            </w:r>
          </w:p>
        </w:tc>
        <w:tc>
          <w:tcPr>
            <w:tcW w:w="2245" w:type="dxa"/>
            <w:tcBorders>
              <w:bottom w:val="single" w:sz="4" w:space="0" w:color="auto"/>
            </w:tcBorders>
          </w:tcPr>
          <w:p w14:paraId="6D7C827A" w14:textId="77777777" w:rsidR="00964932" w:rsidRPr="00FF7CC5" w:rsidRDefault="00964932" w:rsidP="00224D2A">
            <w:pPr>
              <w:jc w:val="center"/>
              <w:rPr>
                <w:rFonts w:ascii="Times New Roman" w:hAnsi="Times New Roman" w:cs="Times New Roman"/>
                <w:b/>
                <w:sz w:val="24"/>
                <w:szCs w:val="24"/>
              </w:rPr>
            </w:pPr>
            <w:r w:rsidRPr="00FF7CC5">
              <w:rPr>
                <w:rFonts w:ascii="Times New Roman" w:hAnsi="Times New Roman" w:cs="Times New Roman"/>
                <w:b/>
                <w:sz w:val="24"/>
                <w:szCs w:val="24"/>
              </w:rPr>
              <w:t xml:space="preserve">HCC </w:t>
            </w:r>
            <w:r w:rsidRPr="00FF7CC5">
              <w:rPr>
                <w:rFonts w:ascii="Times New Roman" w:hAnsi="Times New Roman" w:cs="Times New Roman"/>
                <w:b/>
                <w:sz w:val="24"/>
                <w:szCs w:val="24"/>
              </w:rPr>
              <w:sym w:font="Wingdings" w:char="F0E0"/>
            </w:r>
            <w:r w:rsidRPr="00FF7CC5">
              <w:rPr>
                <w:rFonts w:ascii="Times New Roman" w:hAnsi="Times New Roman" w:cs="Times New Roman"/>
                <w:b/>
                <w:sz w:val="24"/>
                <w:szCs w:val="24"/>
              </w:rPr>
              <w:t xml:space="preserve"> PANAS</w:t>
            </w:r>
          </w:p>
        </w:tc>
      </w:tr>
      <w:tr w:rsidR="00964932" w:rsidRPr="00FF7CC5" w14:paraId="78E3374F" w14:textId="77777777" w:rsidTr="00224D2A">
        <w:trPr>
          <w:jc w:val="center"/>
        </w:trPr>
        <w:tc>
          <w:tcPr>
            <w:tcW w:w="1620" w:type="dxa"/>
            <w:tcBorders>
              <w:top w:val="single" w:sz="4" w:space="0" w:color="auto"/>
            </w:tcBorders>
          </w:tcPr>
          <w:p w14:paraId="797A30FA"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sz w:val="24"/>
                <w:szCs w:val="24"/>
              </w:rPr>
              <w:t>χ</w:t>
            </w:r>
            <w:r w:rsidRPr="00FF7CC5">
              <w:rPr>
                <w:rFonts w:ascii="Times New Roman" w:hAnsi="Times New Roman" w:cs="Times New Roman"/>
                <w:b/>
                <w:sz w:val="24"/>
                <w:szCs w:val="24"/>
                <w:vertAlign w:val="superscript"/>
              </w:rPr>
              <w:t>2</w:t>
            </w:r>
          </w:p>
          <w:p w14:paraId="5FB5E3F3"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i/>
                <w:sz w:val="24"/>
                <w:szCs w:val="24"/>
              </w:rPr>
              <w:t>(p)</w:t>
            </w:r>
          </w:p>
        </w:tc>
        <w:tc>
          <w:tcPr>
            <w:tcW w:w="2340" w:type="dxa"/>
            <w:tcBorders>
              <w:top w:val="single" w:sz="4" w:space="0" w:color="auto"/>
            </w:tcBorders>
            <w:vAlign w:val="center"/>
          </w:tcPr>
          <w:p w14:paraId="5FF6C84D"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2430" w:type="dxa"/>
            <w:tcBorders>
              <w:top w:val="single" w:sz="4" w:space="0" w:color="auto"/>
            </w:tcBorders>
            <w:vAlign w:val="center"/>
          </w:tcPr>
          <w:p w14:paraId="196F28D0"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.57</w:t>
            </w:r>
          </w:p>
          <w:p w14:paraId="587D6A2F"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r w:rsidRPr="00FF7CC5">
              <w:rPr>
                <w:rFonts w:ascii="Times New Roman" w:hAnsi="Times New Roman" w:cs="Times New Roman"/>
                <w:i/>
                <w:sz w:val="24"/>
                <w:szCs w:val="24"/>
              </w:rPr>
              <w:t>.75</w:t>
            </w:r>
            <w:r w:rsidRPr="00FF7CC5">
              <w:rPr>
                <w:rFonts w:ascii="Times New Roman" w:hAnsi="Times New Roman" w:cs="Times New Roman"/>
                <w:sz w:val="24"/>
                <w:szCs w:val="24"/>
              </w:rPr>
              <w:t>)</w:t>
            </w:r>
          </w:p>
        </w:tc>
        <w:tc>
          <w:tcPr>
            <w:tcW w:w="2245" w:type="dxa"/>
            <w:tcBorders>
              <w:top w:val="single" w:sz="4" w:space="0" w:color="auto"/>
            </w:tcBorders>
            <w:vAlign w:val="center"/>
          </w:tcPr>
          <w:p w14:paraId="5E5F76DF"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.51</w:t>
            </w:r>
          </w:p>
          <w:p w14:paraId="0F603523"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r w:rsidRPr="00FF7CC5">
              <w:rPr>
                <w:rFonts w:ascii="Times New Roman" w:hAnsi="Times New Roman" w:cs="Times New Roman"/>
                <w:i/>
                <w:sz w:val="24"/>
                <w:szCs w:val="24"/>
              </w:rPr>
              <w:t>.77</w:t>
            </w:r>
            <w:r w:rsidRPr="00FF7CC5">
              <w:rPr>
                <w:rFonts w:ascii="Times New Roman" w:hAnsi="Times New Roman" w:cs="Times New Roman"/>
                <w:sz w:val="24"/>
                <w:szCs w:val="24"/>
              </w:rPr>
              <w:t>)</w:t>
            </w:r>
          </w:p>
        </w:tc>
      </w:tr>
      <w:tr w:rsidR="00964932" w:rsidRPr="00FF7CC5" w14:paraId="6EDD056C" w14:textId="77777777" w:rsidTr="00224D2A">
        <w:trPr>
          <w:jc w:val="center"/>
        </w:trPr>
        <w:tc>
          <w:tcPr>
            <w:tcW w:w="1620" w:type="dxa"/>
          </w:tcPr>
          <w:p w14:paraId="3FCDC95C" w14:textId="77777777" w:rsidR="00964932" w:rsidRPr="00FF7CC5" w:rsidRDefault="00964932" w:rsidP="00224D2A">
            <w:pPr>
              <w:jc w:val="both"/>
              <w:rPr>
                <w:rFonts w:ascii="Times New Roman" w:hAnsi="Times New Roman" w:cs="Times New Roman"/>
                <w:b/>
                <w:sz w:val="12"/>
                <w:szCs w:val="12"/>
              </w:rPr>
            </w:pPr>
          </w:p>
        </w:tc>
        <w:tc>
          <w:tcPr>
            <w:tcW w:w="2340" w:type="dxa"/>
            <w:vAlign w:val="center"/>
          </w:tcPr>
          <w:p w14:paraId="54B2AB68" w14:textId="77777777" w:rsidR="00964932" w:rsidRPr="00FF7CC5" w:rsidRDefault="00964932" w:rsidP="00224D2A">
            <w:pPr>
              <w:jc w:val="center"/>
              <w:rPr>
                <w:rFonts w:ascii="Times New Roman" w:hAnsi="Times New Roman" w:cs="Times New Roman"/>
                <w:sz w:val="12"/>
                <w:szCs w:val="12"/>
              </w:rPr>
            </w:pPr>
          </w:p>
        </w:tc>
        <w:tc>
          <w:tcPr>
            <w:tcW w:w="2430" w:type="dxa"/>
            <w:vAlign w:val="center"/>
          </w:tcPr>
          <w:p w14:paraId="65669E94" w14:textId="77777777" w:rsidR="00964932" w:rsidRPr="00FF7CC5" w:rsidRDefault="00964932" w:rsidP="00224D2A">
            <w:pPr>
              <w:jc w:val="center"/>
              <w:rPr>
                <w:rFonts w:ascii="Times New Roman" w:hAnsi="Times New Roman" w:cs="Times New Roman"/>
                <w:sz w:val="12"/>
                <w:szCs w:val="12"/>
              </w:rPr>
            </w:pPr>
          </w:p>
        </w:tc>
        <w:tc>
          <w:tcPr>
            <w:tcW w:w="2245" w:type="dxa"/>
            <w:vAlign w:val="center"/>
          </w:tcPr>
          <w:p w14:paraId="2CDE7FE3" w14:textId="77777777" w:rsidR="00964932" w:rsidRPr="00FF7CC5" w:rsidRDefault="00964932" w:rsidP="00224D2A">
            <w:pPr>
              <w:jc w:val="center"/>
              <w:rPr>
                <w:rFonts w:ascii="Times New Roman" w:hAnsi="Times New Roman" w:cs="Times New Roman"/>
                <w:sz w:val="12"/>
                <w:szCs w:val="12"/>
              </w:rPr>
            </w:pPr>
          </w:p>
        </w:tc>
      </w:tr>
      <w:tr w:rsidR="00964932" w:rsidRPr="00FF7CC5" w14:paraId="3D4A8584" w14:textId="77777777" w:rsidTr="00224D2A">
        <w:trPr>
          <w:jc w:val="center"/>
        </w:trPr>
        <w:tc>
          <w:tcPr>
            <w:tcW w:w="1620" w:type="dxa"/>
          </w:tcPr>
          <w:p w14:paraId="3025F7E5"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sz w:val="24"/>
                <w:szCs w:val="24"/>
              </w:rPr>
              <w:t>RMSEA</w:t>
            </w:r>
          </w:p>
          <w:p w14:paraId="3BA3E92E"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sz w:val="24"/>
                <w:szCs w:val="24"/>
              </w:rPr>
              <w:t>90% CI</w:t>
            </w:r>
          </w:p>
        </w:tc>
        <w:tc>
          <w:tcPr>
            <w:tcW w:w="2340" w:type="dxa"/>
            <w:vAlign w:val="center"/>
          </w:tcPr>
          <w:p w14:paraId="1A354D26"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2430" w:type="dxa"/>
            <w:vAlign w:val="center"/>
          </w:tcPr>
          <w:p w14:paraId="09DD7091"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.00</w:t>
            </w:r>
          </w:p>
          <w:p w14:paraId="0F342247"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[.00, .21]</w:t>
            </w:r>
          </w:p>
        </w:tc>
        <w:tc>
          <w:tcPr>
            <w:tcW w:w="2245" w:type="dxa"/>
            <w:vAlign w:val="center"/>
          </w:tcPr>
          <w:p w14:paraId="5E13A8BA"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.00</w:t>
            </w:r>
          </w:p>
          <w:p w14:paraId="333CC47C"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[.00, .20]</w:t>
            </w:r>
          </w:p>
        </w:tc>
      </w:tr>
      <w:tr w:rsidR="00964932" w:rsidRPr="00FF7CC5" w14:paraId="560D6BB9" w14:textId="77777777" w:rsidTr="00224D2A">
        <w:trPr>
          <w:jc w:val="center"/>
        </w:trPr>
        <w:tc>
          <w:tcPr>
            <w:tcW w:w="1620" w:type="dxa"/>
          </w:tcPr>
          <w:p w14:paraId="6EF0E2D4" w14:textId="77777777" w:rsidR="00964932" w:rsidRPr="00FF7CC5" w:rsidRDefault="00964932" w:rsidP="00224D2A">
            <w:pPr>
              <w:jc w:val="both"/>
              <w:rPr>
                <w:rFonts w:ascii="Times New Roman" w:hAnsi="Times New Roman" w:cs="Times New Roman"/>
                <w:b/>
                <w:sz w:val="12"/>
                <w:szCs w:val="12"/>
              </w:rPr>
            </w:pPr>
          </w:p>
        </w:tc>
        <w:tc>
          <w:tcPr>
            <w:tcW w:w="2340" w:type="dxa"/>
            <w:vAlign w:val="center"/>
          </w:tcPr>
          <w:p w14:paraId="2A3AE2F7" w14:textId="77777777" w:rsidR="00964932" w:rsidRPr="00FF7CC5" w:rsidRDefault="00964932" w:rsidP="00224D2A">
            <w:pPr>
              <w:jc w:val="center"/>
              <w:rPr>
                <w:rFonts w:ascii="Times New Roman" w:hAnsi="Times New Roman" w:cs="Times New Roman"/>
                <w:sz w:val="12"/>
                <w:szCs w:val="12"/>
              </w:rPr>
            </w:pPr>
          </w:p>
        </w:tc>
        <w:tc>
          <w:tcPr>
            <w:tcW w:w="2430" w:type="dxa"/>
            <w:vAlign w:val="center"/>
          </w:tcPr>
          <w:p w14:paraId="3021F2A0" w14:textId="77777777" w:rsidR="00964932" w:rsidRPr="00FF7CC5" w:rsidRDefault="00964932" w:rsidP="00224D2A">
            <w:pPr>
              <w:jc w:val="center"/>
              <w:rPr>
                <w:rFonts w:ascii="Times New Roman" w:hAnsi="Times New Roman" w:cs="Times New Roman"/>
                <w:sz w:val="12"/>
                <w:szCs w:val="12"/>
              </w:rPr>
            </w:pPr>
          </w:p>
        </w:tc>
        <w:tc>
          <w:tcPr>
            <w:tcW w:w="2245" w:type="dxa"/>
            <w:vAlign w:val="center"/>
          </w:tcPr>
          <w:p w14:paraId="2165B640" w14:textId="77777777" w:rsidR="00964932" w:rsidRPr="00FF7CC5" w:rsidRDefault="00964932" w:rsidP="00224D2A">
            <w:pPr>
              <w:jc w:val="center"/>
              <w:rPr>
                <w:rFonts w:ascii="Times New Roman" w:hAnsi="Times New Roman" w:cs="Times New Roman"/>
                <w:sz w:val="12"/>
                <w:szCs w:val="12"/>
              </w:rPr>
            </w:pPr>
          </w:p>
        </w:tc>
      </w:tr>
      <w:tr w:rsidR="00964932" w:rsidRPr="00FF7CC5" w14:paraId="1914F576" w14:textId="77777777" w:rsidTr="00224D2A">
        <w:trPr>
          <w:jc w:val="center"/>
        </w:trPr>
        <w:tc>
          <w:tcPr>
            <w:tcW w:w="1620" w:type="dxa"/>
          </w:tcPr>
          <w:p w14:paraId="5BEA7411"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sz w:val="24"/>
                <w:szCs w:val="24"/>
              </w:rPr>
              <w:t>CFI</w:t>
            </w:r>
          </w:p>
        </w:tc>
        <w:tc>
          <w:tcPr>
            <w:tcW w:w="2340" w:type="dxa"/>
            <w:vAlign w:val="center"/>
          </w:tcPr>
          <w:p w14:paraId="4C73A48A"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2430" w:type="dxa"/>
            <w:vAlign w:val="center"/>
          </w:tcPr>
          <w:p w14:paraId="0B7C1F59"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1.00</w:t>
            </w:r>
          </w:p>
        </w:tc>
        <w:tc>
          <w:tcPr>
            <w:tcW w:w="2245" w:type="dxa"/>
            <w:vAlign w:val="center"/>
          </w:tcPr>
          <w:p w14:paraId="33CB4B4F"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1.00</w:t>
            </w:r>
          </w:p>
        </w:tc>
      </w:tr>
      <w:tr w:rsidR="00964932" w:rsidRPr="00FF7CC5" w14:paraId="2704953E" w14:textId="77777777" w:rsidTr="00224D2A">
        <w:trPr>
          <w:jc w:val="center"/>
        </w:trPr>
        <w:tc>
          <w:tcPr>
            <w:tcW w:w="1620" w:type="dxa"/>
          </w:tcPr>
          <w:p w14:paraId="54196896" w14:textId="77777777" w:rsidR="00964932" w:rsidRPr="00FF7CC5" w:rsidRDefault="00964932" w:rsidP="00224D2A">
            <w:pPr>
              <w:jc w:val="both"/>
              <w:rPr>
                <w:rFonts w:ascii="Times New Roman" w:hAnsi="Times New Roman" w:cs="Times New Roman"/>
                <w:b/>
                <w:sz w:val="12"/>
                <w:szCs w:val="12"/>
              </w:rPr>
            </w:pPr>
          </w:p>
        </w:tc>
        <w:tc>
          <w:tcPr>
            <w:tcW w:w="2340" w:type="dxa"/>
            <w:vAlign w:val="center"/>
          </w:tcPr>
          <w:p w14:paraId="6DCE2F96" w14:textId="77777777" w:rsidR="00964932" w:rsidRPr="00FF7CC5" w:rsidRDefault="00964932" w:rsidP="00224D2A">
            <w:pPr>
              <w:jc w:val="center"/>
              <w:rPr>
                <w:rFonts w:ascii="Times New Roman" w:hAnsi="Times New Roman" w:cs="Times New Roman"/>
                <w:sz w:val="12"/>
                <w:szCs w:val="12"/>
              </w:rPr>
            </w:pPr>
          </w:p>
        </w:tc>
        <w:tc>
          <w:tcPr>
            <w:tcW w:w="2430" w:type="dxa"/>
            <w:vAlign w:val="center"/>
          </w:tcPr>
          <w:p w14:paraId="1A047951" w14:textId="77777777" w:rsidR="00964932" w:rsidRPr="00FF7CC5" w:rsidRDefault="00964932" w:rsidP="00224D2A">
            <w:pPr>
              <w:jc w:val="center"/>
              <w:rPr>
                <w:rFonts w:ascii="Times New Roman" w:hAnsi="Times New Roman" w:cs="Times New Roman"/>
                <w:sz w:val="12"/>
                <w:szCs w:val="12"/>
              </w:rPr>
            </w:pPr>
          </w:p>
        </w:tc>
        <w:tc>
          <w:tcPr>
            <w:tcW w:w="2245" w:type="dxa"/>
            <w:vAlign w:val="center"/>
          </w:tcPr>
          <w:p w14:paraId="38AEDA97" w14:textId="77777777" w:rsidR="00964932" w:rsidRPr="00FF7CC5" w:rsidRDefault="00964932" w:rsidP="00224D2A">
            <w:pPr>
              <w:jc w:val="center"/>
              <w:rPr>
                <w:rFonts w:ascii="Times New Roman" w:hAnsi="Times New Roman" w:cs="Times New Roman"/>
                <w:sz w:val="12"/>
                <w:szCs w:val="12"/>
              </w:rPr>
            </w:pPr>
          </w:p>
        </w:tc>
      </w:tr>
      <w:tr w:rsidR="00964932" w:rsidRPr="00FF7CC5" w14:paraId="7976C013" w14:textId="77777777" w:rsidTr="00224D2A">
        <w:trPr>
          <w:jc w:val="center"/>
        </w:trPr>
        <w:tc>
          <w:tcPr>
            <w:tcW w:w="1620" w:type="dxa"/>
          </w:tcPr>
          <w:p w14:paraId="75DE42D0"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sz w:val="24"/>
                <w:szCs w:val="24"/>
              </w:rPr>
              <w:t>SRMR</w:t>
            </w:r>
          </w:p>
        </w:tc>
        <w:tc>
          <w:tcPr>
            <w:tcW w:w="2340" w:type="dxa"/>
            <w:vAlign w:val="center"/>
          </w:tcPr>
          <w:p w14:paraId="6AB616DA"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2430" w:type="dxa"/>
            <w:vAlign w:val="center"/>
          </w:tcPr>
          <w:p w14:paraId="66979B9C"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.02</w:t>
            </w:r>
          </w:p>
        </w:tc>
        <w:tc>
          <w:tcPr>
            <w:tcW w:w="2245" w:type="dxa"/>
            <w:vAlign w:val="center"/>
          </w:tcPr>
          <w:p w14:paraId="61399785"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.02</w:t>
            </w:r>
          </w:p>
        </w:tc>
      </w:tr>
      <w:tr w:rsidR="00964932" w:rsidRPr="00FF7CC5" w14:paraId="276342ED" w14:textId="77777777" w:rsidTr="00224D2A">
        <w:trPr>
          <w:jc w:val="center"/>
        </w:trPr>
        <w:tc>
          <w:tcPr>
            <w:tcW w:w="1620" w:type="dxa"/>
          </w:tcPr>
          <w:p w14:paraId="5BB39548" w14:textId="77777777" w:rsidR="00964932" w:rsidRPr="00FF7CC5" w:rsidRDefault="00964932" w:rsidP="00224D2A">
            <w:pPr>
              <w:jc w:val="both"/>
              <w:rPr>
                <w:rFonts w:ascii="Times New Roman" w:hAnsi="Times New Roman" w:cs="Times New Roman"/>
                <w:b/>
                <w:sz w:val="12"/>
                <w:szCs w:val="12"/>
              </w:rPr>
            </w:pPr>
          </w:p>
        </w:tc>
        <w:tc>
          <w:tcPr>
            <w:tcW w:w="2340" w:type="dxa"/>
            <w:vAlign w:val="center"/>
          </w:tcPr>
          <w:p w14:paraId="1372D914" w14:textId="77777777" w:rsidR="00964932" w:rsidRPr="00FF7CC5" w:rsidRDefault="00964932" w:rsidP="00224D2A">
            <w:pPr>
              <w:jc w:val="center"/>
              <w:rPr>
                <w:rFonts w:ascii="Times New Roman" w:hAnsi="Times New Roman" w:cs="Times New Roman"/>
                <w:sz w:val="12"/>
                <w:szCs w:val="12"/>
              </w:rPr>
            </w:pPr>
          </w:p>
        </w:tc>
        <w:tc>
          <w:tcPr>
            <w:tcW w:w="2430" w:type="dxa"/>
            <w:vAlign w:val="center"/>
          </w:tcPr>
          <w:p w14:paraId="37FE99A6" w14:textId="77777777" w:rsidR="00964932" w:rsidRPr="00FF7CC5" w:rsidRDefault="00964932" w:rsidP="00224D2A">
            <w:pPr>
              <w:jc w:val="center"/>
              <w:rPr>
                <w:rFonts w:ascii="Times New Roman" w:hAnsi="Times New Roman" w:cs="Times New Roman"/>
                <w:sz w:val="12"/>
                <w:szCs w:val="12"/>
              </w:rPr>
            </w:pPr>
          </w:p>
        </w:tc>
        <w:tc>
          <w:tcPr>
            <w:tcW w:w="2245" w:type="dxa"/>
            <w:vAlign w:val="center"/>
          </w:tcPr>
          <w:p w14:paraId="3D5956C9" w14:textId="77777777" w:rsidR="00964932" w:rsidRPr="00FF7CC5" w:rsidRDefault="00964932" w:rsidP="00224D2A">
            <w:pPr>
              <w:jc w:val="center"/>
              <w:rPr>
                <w:rFonts w:ascii="Times New Roman" w:hAnsi="Times New Roman" w:cs="Times New Roman"/>
                <w:sz w:val="12"/>
                <w:szCs w:val="12"/>
              </w:rPr>
            </w:pPr>
          </w:p>
        </w:tc>
      </w:tr>
      <w:tr w:rsidR="00964932" w:rsidRPr="00FF7CC5" w14:paraId="5E57629D" w14:textId="77777777" w:rsidTr="00224D2A">
        <w:trPr>
          <w:jc w:val="center"/>
        </w:trPr>
        <w:tc>
          <w:tcPr>
            <w:tcW w:w="1620" w:type="dxa"/>
          </w:tcPr>
          <w:p w14:paraId="260B32C6"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sz w:val="24"/>
                <w:szCs w:val="24"/>
              </w:rPr>
              <w:t>AIC</w:t>
            </w:r>
          </w:p>
        </w:tc>
        <w:tc>
          <w:tcPr>
            <w:tcW w:w="2340" w:type="dxa"/>
            <w:vAlign w:val="center"/>
          </w:tcPr>
          <w:p w14:paraId="16A7A402"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1897.94</w:t>
            </w:r>
          </w:p>
        </w:tc>
        <w:tc>
          <w:tcPr>
            <w:tcW w:w="2430" w:type="dxa"/>
            <w:vAlign w:val="center"/>
          </w:tcPr>
          <w:p w14:paraId="384B9E8B"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1894.51</w:t>
            </w:r>
          </w:p>
        </w:tc>
        <w:tc>
          <w:tcPr>
            <w:tcW w:w="2245" w:type="dxa"/>
            <w:vAlign w:val="center"/>
          </w:tcPr>
          <w:p w14:paraId="480E0EB7"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1894.45</w:t>
            </w:r>
          </w:p>
        </w:tc>
      </w:tr>
      <w:tr w:rsidR="00964932" w:rsidRPr="00FF7CC5" w14:paraId="2F529923" w14:textId="77777777" w:rsidTr="00224D2A">
        <w:trPr>
          <w:jc w:val="center"/>
        </w:trPr>
        <w:tc>
          <w:tcPr>
            <w:tcW w:w="1620" w:type="dxa"/>
          </w:tcPr>
          <w:p w14:paraId="596EFC99" w14:textId="77777777" w:rsidR="00964932" w:rsidRPr="00FF7CC5" w:rsidRDefault="00964932" w:rsidP="00224D2A">
            <w:pPr>
              <w:jc w:val="right"/>
              <w:rPr>
                <w:rFonts w:ascii="Times New Roman" w:hAnsi="Times New Roman" w:cs="Times New Roman"/>
                <w:b/>
                <w:sz w:val="24"/>
                <w:szCs w:val="24"/>
              </w:rPr>
            </w:pPr>
            <w:r w:rsidRPr="00FF7CC5">
              <w:rPr>
                <w:rFonts w:ascii="Times New Roman" w:hAnsi="Times New Roman" w:cs="Times New Roman"/>
                <w:b/>
                <w:sz w:val="24"/>
                <w:szCs w:val="24"/>
              </w:rPr>
              <w:t>ΔAIC</w:t>
            </w:r>
          </w:p>
        </w:tc>
        <w:tc>
          <w:tcPr>
            <w:tcW w:w="2340" w:type="dxa"/>
            <w:vAlign w:val="center"/>
          </w:tcPr>
          <w:p w14:paraId="11DD5213"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2430" w:type="dxa"/>
            <w:vAlign w:val="center"/>
          </w:tcPr>
          <w:p w14:paraId="72A26A3B"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3.43</w:t>
            </w:r>
          </w:p>
        </w:tc>
        <w:tc>
          <w:tcPr>
            <w:tcW w:w="2245" w:type="dxa"/>
            <w:vAlign w:val="center"/>
          </w:tcPr>
          <w:p w14:paraId="5BD256A3"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3.49</w:t>
            </w:r>
          </w:p>
        </w:tc>
      </w:tr>
      <w:tr w:rsidR="00964932" w:rsidRPr="00FF7CC5" w14:paraId="0F0975E5" w14:textId="77777777" w:rsidTr="00224D2A">
        <w:trPr>
          <w:jc w:val="center"/>
        </w:trPr>
        <w:tc>
          <w:tcPr>
            <w:tcW w:w="1620" w:type="dxa"/>
          </w:tcPr>
          <w:p w14:paraId="0EC9991A" w14:textId="77777777" w:rsidR="00964932" w:rsidRPr="00FF7CC5" w:rsidRDefault="00964932" w:rsidP="00224D2A">
            <w:pPr>
              <w:jc w:val="both"/>
              <w:rPr>
                <w:rFonts w:ascii="Times New Roman" w:hAnsi="Times New Roman" w:cs="Times New Roman"/>
                <w:b/>
                <w:sz w:val="12"/>
                <w:szCs w:val="12"/>
              </w:rPr>
            </w:pPr>
          </w:p>
        </w:tc>
        <w:tc>
          <w:tcPr>
            <w:tcW w:w="2340" w:type="dxa"/>
            <w:vAlign w:val="center"/>
          </w:tcPr>
          <w:p w14:paraId="67033590" w14:textId="77777777" w:rsidR="00964932" w:rsidRPr="00FF7CC5" w:rsidRDefault="00964932" w:rsidP="00224D2A">
            <w:pPr>
              <w:jc w:val="center"/>
              <w:rPr>
                <w:rFonts w:ascii="Times New Roman" w:hAnsi="Times New Roman" w:cs="Times New Roman"/>
                <w:sz w:val="12"/>
                <w:szCs w:val="12"/>
              </w:rPr>
            </w:pPr>
          </w:p>
        </w:tc>
        <w:tc>
          <w:tcPr>
            <w:tcW w:w="2430" w:type="dxa"/>
            <w:vAlign w:val="center"/>
          </w:tcPr>
          <w:p w14:paraId="012ABB38" w14:textId="77777777" w:rsidR="00964932" w:rsidRPr="00FF7CC5" w:rsidRDefault="00964932" w:rsidP="00224D2A">
            <w:pPr>
              <w:jc w:val="center"/>
              <w:rPr>
                <w:rFonts w:ascii="Times New Roman" w:hAnsi="Times New Roman" w:cs="Times New Roman"/>
                <w:sz w:val="12"/>
                <w:szCs w:val="12"/>
              </w:rPr>
            </w:pPr>
          </w:p>
        </w:tc>
        <w:tc>
          <w:tcPr>
            <w:tcW w:w="2245" w:type="dxa"/>
            <w:vAlign w:val="center"/>
          </w:tcPr>
          <w:p w14:paraId="5F5D0804" w14:textId="77777777" w:rsidR="00964932" w:rsidRPr="00FF7CC5" w:rsidRDefault="00964932" w:rsidP="00224D2A">
            <w:pPr>
              <w:jc w:val="center"/>
              <w:rPr>
                <w:rFonts w:ascii="Times New Roman" w:hAnsi="Times New Roman" w:cs="Times New Roman"/>
                <w:sz w:val="12"/>
                <w:szCs w:val="12"/>
              </w:rPr>
            </w:pPr>
          </w:p>
        </w:tc>
      </w:tr>
      <w:tr w:rsidR="00964932" w:rsidRPr="00FF7CC5" w14:paraId="0A407693" w14:textId="77777777" w:rsidTr="00224D2A">
        <w:trPr>
          <w:jc w:val="center"/>
        </w:trPr>
        <w:tc>
          <w:tcPr>
            <w:tcW w:w="1620" w:type="dxa"/>
          </w:tcPr>
          <w:p w14:paraId="78FC9B78" w14:textId="77777777" w:rsidR="00964932" w:rsidRPr="00FF7CC5" w:rsidRDefault="00964932" w:rsidP="00224D2A">
            <w:pPr>
              <w:jc w:val="both"/>
              <w:rPr>
                <w:rFonts w:ascii="Times New Roman" w:hAnsi="Times New Roman" w:cs="Times New Roman"/>
                <w:b/>
                <w:sz w:val="24"/>
                <w:szCs w:val="24"/>
              </w:rPr>
            </w:pPr>
            <w:r w:rsidRPr="00FF7CC5">
              <w:rPr>
                <w:rFonts w:ascii="Times New Roman" w:hAnsi="Times New Roman" w:cs="Times New Roman"/>
                <w:b/>
                <w:sz w:val="24"/>
                <w:szCs w:val="24"/>
              </w:rPr>
              <w:t>BIC</w:t>
            </w:r>
          </w:p>
        </w:tc>
        <w:tc>
          <w:tcPr>
            <w:tcW w:w="2340" w:type="dxa"/>
            <w:vAlign w:val="center"/>
          </w:tcPr>
          <w:p w14:paraId="0DE53D2A"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1976.44</w:t>
            </w:r>
          </w:p>
        </w:tc>
        <w:tc>
          <w:tcPr>
            <w:tcW w:w="2430" w:type="dxa"/>
            <w:vAlign w:val="center"/>
          </w:tcPr>
          <w:p w14:paraId="2E681D65"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1969.44</w:t>
            </w:r>
          </w:p>
        </w:tc>
        <w:tc>
          <w:tcPr>
            <w:tcW w:w="2245" w:type="dxa"/>
            <w:vAlign w:val="center"/>
          </w:tcPr>
          <w:p w14:paraId="6B3C7AD0"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1969.38</w:t>
            </w:r>
          </w:p>
        </w:tc>
      </w:tr>
      <w:tr w:rsidR="00964932" w:rsidRPr="00FF7CC5" w14:paraId="56EC13CF" w14:textId="77777777" w:rsidTr="00224D2A">
        <w:trPr>
          <w:jc w:val="center"/>
        </w:trPr>
        <w:tc>
          <w:tcPr>
            <w:tcW w:w="1620" w:type="dxa"/>
            <w:tcBorders>
              <w:bottom w:val="single" w:sz="4" w:space="0" w:color="auto"/>
            </w:tcBorders>
          </w:tcPr>
          <w:p w14:paraId="6611A65D" w14:textId="77777777" w:rsidR="00964932" w:rsidRPr="00FF7CC5" w:rsidRDefault="00964932" w:rsidP="00224D2A">
            <w:pPr>
              <w:jc w:val="right"/>
              <w:rPr>
                <w:rFonts w:ascii="Times New Roman" w:hAnsi="Times New Roman" w:cs="Times New Roman"/>
                <w:b/>
                <w:sz w:val="24"/>
                <w:szCs w:val="24"/>
              </w:rPr>
            </w:pPr>
            <w:r w:rsidRPr="00FF7CC5">
              <w:rPr>
                <w:rFonts w:ascii="Times New Roman" w:hAnsi="Times New Roman" w:cs="Times New Roman"/>
                <w:b/>
                <w:sz w:val="24"/>
                <w:szCs w:val="24"/>
              </w:rPr>
              <w:t>ΔBIC</w:t>
            </w:r>
          </w:p>
        </w:tc>
        <w:tc>
          <w:tcPr>
            <w:tcW w:w="2340" w:type="dxa"/>
            <w:tcBorders>
              <w:bottom w:val="single" w:sz="4" w:space="0" w:color="auto"/>
            </w:tcBorders>
            <w:vAlign w:val="center"/>
          </w:tcPr>
          <w:p w14:paraId="4E282A22"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w:t>
            </w:r>
          </w:p>
        </w:tc>
        <w:tc>
          <w:tcPr>
            <w:tcW w:w="2430" w:type="dxa"/>
            <w:tcBorders>
              <w:bottom w:val="single" w:sz="4" w:space="0" w:color="auto"/>
            </w:tcBorders>
            <w:vAlign w:val="center"/>
          </w:tcPr>
          <w:p w14:paraId="75E526DA"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7.00</w:t>
            </w:r>
          </w:p>
        </w:tc>
        <w:tc>
          <w:tcPr>
            <w:tcW w:w="2245" w:type="dxa"/>
            <w:tcBorders>
              <w:bottom w:val="single" w:sz="4" w:space="0" w:color="auto"/>
            </w:tcBorders>
            <w:vAlign w:val="center"/>
          </w:tcPr>
          <w:p w14:paraId="7310647D"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7.36</w:t>
            </w:r>
          </w:p>
        </w:tc>
      </w:tr>
      <w:tr w:rsidR="00964932" w:rsidRPr="00FF7CC5" w14:paraId="08132F7C" w14:textId="77777777" w:rsidTr="00224D2A">
        <w:trPr>
          <w:jc w:val="center"/>
        </w:trPr>
        <w:tc>
          <w:tcPr>
            <w:tcW w:w="1620" w:type="dxa"/>
            <w:tcBorders>
              <w:top w:val="single" w:sz="4" w:space="0" w:color="auto"/>
            </w:tcBorders>
          </w:tcPr>
          <w:p w14:paraId="39C0C48A" w14:textId="77777777" w:rsidR="00964932" w:rsidRPr="00FF7CC5" w:rsidRDefault="00964932" w:rsidP="00224D2A">
            <w:pPr>
              <w:rPr>
                <w:rFonts w:ascii="Times New Roman" w:hAnsi="Times New Roman" w:cs="Times New Roman"/>
                <w:b/>
                <w:sz w:val="24"/>
                <w:szCs w:val="24"/>
              </w:rPr>
            </w:pPr>
            <w:r w:rsidRPr="00FF7CC5">
              <w:rPr>
                <w:rFonts w:ascii="Times New Roman" w:hAnsi="Times New Roman" w:cs="Times New Roman"/>
                <w:b/>
                <w:i/>
                <w:iCs/>
                <w:sz w:val="24"/>
                <w:szCs w:val="24"/>
              </w:rPr>
              <w:t>R</w:t>
            </w:r>
            <w:r w:rsidRPr="00FF7CC5">
              <w:rPr>
                <w:rFonts w:ascii="Times New Roman" w:hAnsi="Times New Roman" w:cs="Times New Roman"/>
                <w:b/>
                <w:i/>
                <w:iCs/>
                <w:sz w:val="24"/>
                <w:szCs w:val="24"/>
                <w:vertAlign w:val="superscript"/>
              </w:rPr>
              <w:t>2</w:t>
            </w:r>
            <w:r w:rsidRPr="00FF7CC5">
              <w:rPr>
                <w:rFonts w:ascii="Times New Roman" w:hAnsi="Times New Roman" w:cs="Times New Roman"/>
                <w:b/>
                <w:sz w:val="24"/>
                <w:szCs w:val="24"/>
              </w:rPr>
              <w:t xml:space="preserve"> </w:t>
            </w:r>
            <w:proofErr w:type="spellStart"/>
            <w:r w:rsidRPr="00FF7CC5">
              <w:rPr>
                <w:rFonts w:ascii="Times New Roman" w:hAnsi="Times New Roman" w:cs="Times New Roman"/>
                <w:b/>
                <w:sz w:val="24"/>
                <w:szCs w:val="24"/>
              </w:rPr>
              <w:t>ΔCortisol</w:t>
            </w:r>
            <w:proofErr w:type="spellEnd"/>
          </w:p>
        </w:tc>
        <w:tc>
          <w:tcPr>
            <w:tcW w:w="2340" w:type="dxa"/>
            <w:tcBorders>
              <w:top w:val="single" w:sz="4" w:space="0" w:color="auto"/>
            </w:tcBorders>
            <w:vAlign w:val="center"/>
          </w:tcPr>
          <w:p w14:paraId="3340C1E4"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.73</w:t>
            </w:r>
            <w:r w:rsidRPr="00FF7CC5">
              <w:rPr>
                <w:rFonts w:ascii="Times New Roman" w:hAnsi="Times New Roman" w:cs="Times New Roman"/>
                <w:sz w:val="24"/>
                <w:szCs w:val="24"/>
                <w:vertAlign w:val="superscript"/>
              </w:rPr>
              <w:t>***</w:t>
            </w:r>
          </w:p>
        </w:tc>
        <w:tc>
          <w:tcPr>
            <w:tcW w:w="2430" w:type="dxa"/>
            <w:tcBorders>
              <w:top w:val="single" w:sz="4" w:space="0" w:color="auto"/>
            </w:tcBorders>
            <w:vAlign w:val="center"/>
          </w:tcPr>
          <w:p w14:paraId="565B26E9"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.76</w:t>
            </w:r>
            <w:r w:rsidRPr="00FF7CC5">
              <w:rPr>
                <w:rFonts w:ascii="Times New Roman" w:hAnsi="Times New Roman" w:cs="Times New Roman"/>
                <w:sz w:val="24"/>
                <w:szCs w:val="24"/>
                <w:vertAlign w:val="superscript"/>
              </w:rPr>
              <w:t>***</w:t>
            </w:r>
          </w:p>
        </w:tc>
        <w:tc>
          <w:tcPr>
            <w:tcW w:w="2245" w:type="dxa"/>
            <w:tcBorders>
              <w:top w:val="single" w:sz="4" w:space="0" w:color="auto"/>
            </w:tcBorders>
            <w:vAlign w:val="center"/>
          </w:tcPr>
          <w:p w14:paraId="01F0A5BF"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.72</w:t>
            </w:r>
            <w:r w:rsidRPr="00FF7CC5">
              <w:rPr>
                <w:rFonts w:ascii="Times New Roman" w:hAnsi="Times New Roman" w:cs="Times New Roman"/>
                <w:sz w:val="24"/>
                <w:szCs w:val="24"/>
                <w:vertAlign w:val="superscript"/>
              </w:rPr>
              <w:t>***</w:t>
            </w:r>
          </w:p>
        </w:tc>
      </w:tr>
      <w:tr w:rsidR="00964932" w:rsidRPr="00FF7CC5" w14:paraId="48573A91" w14:textId="77777777" w:rsidTr="00224D2A">
        <w:trPr>
          <w:jc w:val="center"/>
        </w:trPr>
        <w:tc>
          <w:tcPr>
            <w:tcW w:w="1620" w:type="dxa"/>
          </w:tcPr>
          <w:p w14:paraId="63116A22" w14:textId="77777777" w:rsidR="00964932" w:rsidRPr="00FF7CC5" w:rsidRDefault="00964932" w:rsidP="00224D2A">
            <w:pPr>
              <w:rPr>
                <w:rFonts w:ascii="Times New Roman" w:hAnsi="Times New Roman" w:cs="Times New Roman"/>
                <w:b/>
                <w:sz w:val="24"/>
                <w:szCs w:val="24"/>
              </w:rPr>
            </w:pPr>
            <w:r w:rsidRPr="00FF7CC5">
              <w:rPr>
                <w:rFonts w:ascii="Times New Roman" w:hAnsi="Times New Roman" w:cs="Times New Roman"/>
                <w:b/>
                <w:i/>
                <w:iCs/>
                <w:sz w:val="24"/>
                <w:szCs w:val="24"/>
              </w:rPr>
              <w:t>R</w:t>
            </w:r>
            <w:r w:rsidRPr="00FF7CC5">
              <w:rPr>
                <w:rFonts w:ascii="Times New Roman" w:hAnsi="Times New Roman" w:cs="Times New Roman"/>
                <w:b/>
                <w:i/>
                <w:iCs/>
                <w:sz w:val="24"/>
                <w:szCs w:val="24"/>
                <w:vertAlign w:val="superscript"/>
              </w:rPr>
              <w:t>2</w:t>
            </w:r>
            <w:r w:rsidRPr="00FF7CC5">
              <w:rPr>
                <w:rFonts w:ascii="Times New Roman" w:hAnsi="Times New Roman" w:cs="Times New Roman"/>
                <w:b/>
                <w:sz w:val="24"/>
                <w:szCs w:val="24"/>
              </w:rPr>
              <w:t xml:space="preserve"> </w:t>
            </w:r>
            <w:proofErr w:type="spellStart"/>
            <w:r w:rsidRPr="00FF7CC5">
              <w:rPr>
                <w:rFonts w:ascii="Times New Roman" w:hAnsi="Times New Roman" w:cs="Times New Roman"/>
                <w:b/>
                <w:sz w:val="24"/>
                <w:szCs w:val="24"/>
              </w:rPr>
              <w:t>ΔPositive</w:t>
            </w:r>
            <w:proofErr w:type="spellEnd"/>
          </w:p>
        </w:tc>
        <w:tc>
          <w:tcPr>
            <w:tcW w:w="2340" w:type="dxa"/>
            <w:vAlign w:val="center"/>
          </w:tcPr>
          <w:p w14:paraId="2E219321"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.44</w:t>
            </w:r>
            <w:r w:rsidRPr="00FF7CC5">
              <w:rPr>
                <w:rFonts w:ascii="Times New Roman" w:hAnsi="Times New Roman" w:cs="Times New Roman"/>
                <w:sz w:val="24"/>
                <w:szCs w:val="24"/>
                <w:vertAlign w:val="superscript"/>
              </w:rPr>
              <w:t>***</w:t>
            </w:r>
          </w:p>
        </w:tc>
        <w:tc>
          <w:tcPr>
            <w:tcW w:w="2430" w:type="dxa"/>
            <w:vAlign w:val="center"/>
          </w:tcPr>
          <w:p w14:paraId="59161C0C"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.44</w:t>
            </w:r>
            <w:r w:rsidRPr="00FF7CC5">
              <w:rPr>
                <w:rFonts w:ascii="Times New Roman" w:hAnsi="Times New Roman" w:cs="Times New Roman"/>
                <w:sz w:val="24"/>
                <w:szCs w:val="24"/>
                <w:vertAlign w:val="superscript"/>
              </w:rPr>
              <w:t>***</w:t>
            </w:r>
          </w:p>
        </w:tc>
        <w:tc>
          <w:tcPr>
            <w:tcW w:w="2245" w:type="dxa"/>
            <w:vAlign w:val="center"/>
          </w:tcPr>
          <w:p w14:paraId="403EE801"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.47</w:t>
            </w:r>
            <w:r w:rsidRPr="00FF7CC5">
              <w:rPr>
                <w:rFonts w:ascii="Times New Roman" w:hAnsi="Times New Roman" w:cs="Times New Roman"/>
                <w:sz w:val="24"/>
                <w:szCs w:val="24"/>
                <w:vertAlign w:val="superscript"/>
              </w:rPr>
              <w:t>***</w:t>
            </w:r>
          </w:p>
        </w:tc>
      </w:tr>
      <w:tr w:rsidR="00964932" w:rsidRPr="00FF7CC5" w14:paraId="3DD46C2C" w14:textId="77777777" w:rsidTr="00224D2A">
        <w:trPr>
          <w:jc w:val="center"/>
        </w:trPr>
        <w:tc>
          <w:tcPr>
            <w:tcW w:w="1620" w:type="dxa"/>
          </w:tcPr>
          <w:p w14:paraId="556E9C19" w14:textId="77777777" w:rsidR="00964932" w:rsidRPr="00FF7CC5" w:rsidRDefault="00964932" w:rsidP="00224D2A">
            <w:pPr>
              <w:rPr>
                <w:rFonts w:ascii="Times New Roman" w:hAnsi="Times New Roman" w:cs="Times New Roman"/>
                <w:b/>
                <w:sz w:val="24"/>
                <w:szCs w:val="24"/>
              </w:rPr>
            </w:pPr>
            <w:r w:rsidRPr="00FF7CC5">
              <w:rPr>
                <w:rFonts w:ascii="Times New Roman" w:hAnsi="Times New Roman" w:cs="Times New Roman"/>
                <w:b/>
                <w:i/>
                <w:iCs/>
                <w:sz w:val="24"/>
                <w:szCs w:val="24"/>
              </w:rPr>
              <w:t>R</w:t>
            </w:r>
            <w:r w:rsidRPr="00FF7CC5">
              <w:rPr>
                <w:rFonts w:ascii="Times New Roman" w:hAnsi="Times New Roman" w:cs="Times New Roman"/>
                <w:b/>
                <w:i/>
                <w:iCs/>
                <w:sz w:val="24"/>
                <w:szCs w:val="24"/>
                <w:vertAlign w:val="superscript"/>
              </w:rPr>
              <w:t>2</w:t>
            </w:r>
            <w:r w:rsidRPr="00FF7CC5">
              <w:rPr>
                <w:rFonts w:ascii="Times New Roman" w:hAnsi="Times New Roman" w:cs="Times New Roman"/>
                <w:b/>
                <w:sz w:val="24"/>
                <w:szCs w:val="24"/>
              </w:rPr>
              <w:t xml:space="preserve"> </w:t>
            </w:r>
            <w:proofErr w:type="spellStart"/>
            <w:r w:rsidRPr="00FF7CC5">
              <w:rPr>
                <w:rFonts w:ascii="Times New Roman" w:hAnsi="Times New Roman" w:cs="Times New Roman"/>
                <w:b/>
                <w:sz w:val="24"/>
                <w:szCs w:val="24"/>
              </w:rPr>
              <w:t>ΔNegative</w:t>
            </w:r>
            <w:proofErr w:type="spellEnd"/>
          </w:p>
        </w:tc>
        <w:tc>
          <w:tcPr>
            <w:tcW w:w="2340" w:type="dxa"/>
            <w:vAlign w:val="center"/>
          </w:tcPr>
          <w:p w14:paraId="0F67599B"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.32</w:t>
            </w:r>
            <w:r w:rsidRPr="00FF7CC5">
              <w:rPr>
                <w:rFonts w:ascii="Times New Roman" w:hAnsi="Times New Roman" w:cs="Times New Roman"/>
                <w:sz w:val="24"/>
                <w:szCs w:val="24"/>
                <w:vertAlign w:val="superscript"/>
              </w:rPr>
              <w:t>**</w:t>
            </w:r>
          </w:p>
        </w:tc>
        <w:tc>
          <w:tcPr>
            <w:tcW w:w="2430" w:type="dxa"/>
            <w:vAlign w:val="center"/>
          </w:tcPr>
          <w:p w14:paraId="0AE53FB7"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.31</w:t>
            </w:r>
            <w:r w:rsidRPr="00FF7CC5">
              <w:rPr>
                <w:rFonts w:ascii="Times New Roman" w:hAnsi="Times New Roman" w:cs="Times New Roman"/>
                <w:sz w:val="24"/>
                <w:szCs w:val="24"/>
                <w:vertAlign w:val="superscript"/>
              </w:rPr>
              <w:t>**</w:t>
            </w:r>
          </w:p>
        </w:tc>
        <w:tc>
          <w:tcPr>
            <w:tcW w:w="2245" w:type="dxa"/>
            <w:vAlign w:val="center"/>
          </w:tcPr>
          <w:p w14:paraId="17CA0FFF" w14:textId="77777777" w:rsidR="00964932" w:rsidRPr="00FF7CC5" w:rsidRDefault="00964932" w:rsidP="00224D2A">
            <w:pPr>
              <w:jc w:val="center"/>
              <w:rPr>
                <w:rFonts w:ascii="Times New Roman" w:hAnsi="Times New Roman" w:cs="Times New Roman"/>
                <w:sz w:val="24"/>
                <w:szCs w:val="24"/>
              </w:rPr>
            </w:pPr>
            <w:r w:rsidRPr="00FF7CC5">
              <w:rPr>
                <w:rFonts w:ascii="Times New Roman" w:hAnsi="Times New Roman" w:cs="Times New Roman"/>
                <w:sz w:val="24"/>
                <w:szCs w:val="24"/>
              </w:rPr>
              <w:t>.38</w:t>
            </w:r>
            <w:r w:rsidRPr="00FF7CC5">
              <w:rPr>
                <w:rFonts w:ascii="Times New Roman" w:hAnsi="Times New Roman" w:cs="Times New Roman"/>
                <w:sz w:val="24"/>
                <w:szCs w:val="24"/>
                <w:vertAlign w:val="superscript"/>
              </w:rPr>
              <w:t>**</w:t>
            </w:r>
          </w:p>
        </w:tc>
      </w:tr>
    </w:tbl>
    <w:p w14:paraId="1946B937" w14:textId="77777777" w:rsidR="00964932" w:rsidRPr="00FF7CC5" w:rsidRDefault="00964932" w:rsidP="00964932">
      <w:pPr>
        <w:spacing w:after="0" w:line="240" w:lineRule="auto"/>
        <w:jc w:val="both"/>
        <w:rPr>
          <w:rFonts w:ascii="Times New Roman" w:hAnsi="Times New Roman" w:cs="Times New Roman"/>
          <w:sz w:val="24"/>
          <w:szCs w:val="24"/>
        </w:rPr>
      </w:pPr>
    </w:p>
    <w:p w14:paraId="493C35AB" w14:textId="77777777" w:rsidR="00964932" w:rsidRPr="00FF7CC5" w:rsidRDefault="00964932" w:rsidP="00964932">
      <w:pPr>
        <w:spacing w:after="0" w:line="240" w:lineRule="auto"/>
        <w:jc w:val="both"/>
        <w:rPr>
          <w:rFonts w:ascii="Times New Roman" w:hAnsi="Times New Roman" w:cs="Times New Roman"/>
          <w:szCs w:val="24"/>
        </w:rPr>
      </w:pPr>
      <w:r w:rsidRPr="00FF7CC5">
        <w:rPr>
          <w:rFonts w:ascii="Times New Roman" w:hAnsi="Times New Roman" w:cs="Times New Roman"/>
          <w:szCs w:val="24"/>
          <w:vertAlign w:val="superscript"/>
        </w:rPr>
        <w:t xml:space="preserve">* </w:t>
      </w:r>
      <w:r w:rsidRPr="00FF7CC5">
        <w:rPr>
          <w:rFonts w:ascii="Times New Roman" w:hAnsi="Times New Roman" w:cs="Times New Roman"/>
          <w:i/>
          <w:iCs/>
          <w:szCs w:val="24"/>
        </w:rPr>
        <w:t>p</w:t>
      </w:r>
      <w:r w:rsidRPr="00FF7CC5">
        <w:rPr>
          <w:rFonts w:ascii="Times New Roman" w:hAnsi="Times New Roman" w:cs="Times New Roman"/>
          <w:szCs w:val="24"/>
        </w:rPr>
        <w:t xml:space="preserve"> &lt; .05; </w:t>
      </w:r>
      <w:r w:rsidRPr="00FF7CC5">
        <w:rPr>
          <w:rFonts w:ascii="Times New Roman" w:hAnsi="Times New Roman" w:cs="Times New Roman"/>
          <w:szCs w:val="24"/>
          <w:vertAlign w:val="superscript"/>
        </w:rPr>
        <w:t xml:space="preserve">** </w:t>
      </w:r>
      <w:r w:rsidRPr="00FF7CC5">
        <w:rPr>
          <w:rFonts w:ascii="Times New Roman" w:hAnsi="Times New Roman" w:cs="Times New Roman"/>
          <w:i/>
          <w:iCs/>
          <w:szCs w:val="24"/>
        </w:rPr>
        <w:t>p</w:t>
      </w:r>
      <w:r w:rsidRPr="00FF7CC5">
        <w:rPr>
          <w:rFonts w:ascii="Times New Roman" w:hAnsi="Times New Roman" w:cs="Times New Roman"/>
          <w:szCs w:val="24"/>
        </w:rPr>
        <w:t xml:space="preserve"> &lt; .01; </w:t>
      </w:r>
      <w:r w:rsidRPr="00FF7CC5">
        <w:rPr>
          <w:rFonts w:ascii="Times New Roman" w:hAnsi="Times New Roman" w:cs="Times New Roman"/>
          <w:szCs w:val="24"/>
          <w:vertAlign w:val="superscript"/>
        </w:rPr>
        <w:t xml:space="preserve">*** </w:t>
      </w:r>
      <w:r w:rsidRPr="00FF7CC5">
        <w:rPr>
          <w:rFonts w:ascii="Times New Roman" w:hAnsi="Times New Roman" w:cs="Times New Roman"/>
          <w:i/>
          <w:iCs/>
          <w:szCs w:val="24"/>
        </w:rPr>
        <w:t>p</w:t>
      </w:r>
      <w:r w:rsidRPr="00FF7CC5">
        <w:rPr>
          <w:rFonts w:ascii="Times New Roman" w:hAnsi="Times New Roman" w:cs="Times New Roman"/>
          <w:szCs w:val="24"/>
        </w:rPr>
        <w:t xml:space="preserve"> &lt; .001 for </w:t>
      </w:r>
      <w:r w:rsidRPr="00FF7CC5">
        <w:rPr>
          <w:rFonts w:ascii="Times New Roman" w:hAnsi="Times New Roman" w:cs="Times New Roman"/>
          <w:i/>
          <w:iCs/>
          <w:szCs w:val="24"/>
        </w:rPr>
        <w:t>R</w:t>
      </w:r>
      <w:r w:rsidRPr="00FF7CC5">
        <w:rPr>
          <w:rFonts w:ascii="Times New Roman" w:hAnsi="Times New Roman" w:cs="Times New Roman"/>
          <w:szCs w:val="24"/>
          <w:vertAlign w:val="superscript"/>
        </w:rPr>
        <w:t>2</w:t>
      </w:r>
      <w:r w:rsidRPr="00FF7CC5">
        <w:rPr>
          <w:rFonts w:ascii="Times New Roman" w:hAnsi="Times New Roman" w:cs="Times New Roman"/>
          <w:szCs w:val="24"/>
        </w:rPr>
        <w:t xml:space="preserve"> values</w:t>
      </w:r>
    </w:p>
    <w:p w14:paraId="25E3ADED" w14:textId="77777777" w:rsidR="00964932" w:rsidRPr="00FF7CC5" w:rsidRDefault="00964932" w:rsidP="00964932">
      <w:pPr>
        <w:spacing w:after="0" w:line="240" w:lineRule="auto"/>
        <w:jc w:val="both"/>
        <w:rPr>
          <w:rFonts w:ascii="Times New Roman" w:hAnsi="Times New Roman" w:cs="Times New Roman"/>
          <w:szCs w:val="24"/>
        </w:rPr>
      </w:pPr>
      <w:r w:rsidRPr="00FF7CC5">
        <w:rPr>
          <w:rFonts w:ascii="Times New Roman" w:hAnsi="Times New Roman" w:cs="Times New Roman"/>
          <w:szCs w:val="24"/>
        </w:rPr>
        <w:t>Note: The correlational model was saturated and thus did not have model fits for most statistics. Degrees of freedom for each of the reported chi square tests was 2; ΔAIC and ΔBIC metrics compare the specified directional predictive model to the correlational model; Only AIC and BIC fit indices are available for the correlational model because it was a saturated model structure.</w:t>
      </w:r>
    </w:p>
    <w:p w14:paraId="2A94178B" w14:textId="77777777" w:rsidR="00964932" w:rsidRPr="00FF7CC5" w:rsidRDefault="00964932" w:rsidP="00964932">
      <w:pPr>
        <w:spacing w:after="0" w:line="240" w:lineRule="auto"/>
        <w:jc w:val="both"/>
        <w:rPr>
          <w:rFonts w:ascii="Times New Roman" w:hAnsi="Times New Roman" w:cs="Times New Roman"/>
          <w:szCs w:val="24"/>
        </w:rPr>
      </w:pPr>
      <w:r w:rsidRPr="00FF7CC5">
        <w:rPr>
          <w:rFonts w:ascii="Times New Roman" w:hAnsi="Times New Roman" w:cs="Times New Roman"/>
          <w:szCs w:val="24"/>
        </w:rPr>
        <w:t>“HCC” = hair cortisol concentration; “PANAS” = Positive Affect Negative Affect Schedule; “χ</w:t>
      </w:r>
      <w:r w:rsidRPr="00FF7CC5">
        <w:rPr>
          <w:rFonts w:ascii="Times New Roman" w:hAnsi="Times New Roman" w:cs="Times New Roman"/>
          <w:szCs w:val="24"/>
          <w:vertAlign w:val="superscript"/>
        </w:rPr>
        <w:t>2</w:t>
      </w:r>
      <w:r w:rsidRPr="00FF7CC5">
        <w:rPr>
          <w:rFonts w:ascii="Times New Roman" w:hAnsi="Times New Roman" w:cs="Times New Roman"/>
          <w:szCs w:val="24"/>
        </w:rPr>
        <w:t>” = chi square test of model fit; “(</w:t>
      </w:r>
      <w:r w:rsidRPr="00FF7CC5">
        <w:rPr>
          <w:rFonts w:ascii="Times New Roman" w:hAnsi="Times New Roman" w:cs="Times New Roman"/>
          <w:i/>
          <w:szCs w:val="24"/>
        </w:rPr>
        <w:t>p</w:t>
      </w:r>
      <w:r w:rsidRPr="00FF7CC5">
        <w:rPr>
          <w:rFonts w:ascii="Times New Roman" w:hAnsi="Times New Roman" w:cs="Times New Roman"/>
          <w:szCs w:val="24"/>
        </w:rPr>
        <w:t xml:space="preserve">)” = the </w:t>
      </w:r>
      <w:r w:rsidRPr="00FF7CC5">
        <w:rPr>
          <w:rFonts w:ascii="Times New Roman" w:hAnsi="Times New Roman" w:cs="Times New Roman"/>
          <w:i/>
          <w:szCs w:val="24"/>
        </w:rPr>
        <w:t>p</w:t>
      </w:r>
      <w:r w:rsidRPr="00FF7CC5">
        <w:rPr>
          <w:rFonts w:ascii="Times New Roman" w:hAnsi="Times New Roman" w:cs="Times New Roman"/>
          <w:szCs w:val="24"/>
        </w:rPr>
        <w:t>-value associated with the chi-square statistic; “RMSEA” = root mean square error of approximation; “90% CI” = the 90% confidence interval around the RMSEA (values in brackets are [lower bound, upper bound]); “SRMR” = standardized root mean square; “AIC” = Akaike information criterion; “BIC” = Bayesian information criterion</w:t>
      </w:r>
    </w:p>
    <w:p w14:paraId="0E57FD0D" w14:textId="77777777" w:rsidR="00964932" w:rsidRPr="00FF7CC5" w:rsidRDefault="00964932" w:rsidP="00AD0BB6">
      <w:pPr>
        <w:spacing w:after="0" w:line="240" w:lineRule="auto"/>
        <w:jc w:val="both"/>
        <w:rPr>
          <w:rFonts w:ascii="Times New Roman" w:hAnsi="Times New Roman" w:cs="Times New Roman"/>
          <w:szCs w:val="24"/>
        </w:rPr>
      </w:pPr>
    </w:p>
    <w:p w14:paraId="60938F1F" w14:textId="77777777" w:rsidR="004B7EB3" w:rsidRPr="00FF7CC5" w:rsidRDefault="004B7EB3">
      <w:pPr>
        <w:rPr>
          <w:rFonts w:ascii="Times New Roman" w:hAnsi="Times New Roman" w:cs="Times New Roman"/>
          <w:szCs w:val="24"/>
        </w:rPr>
      </w:pPr>
      <w:r w:rsidRPr="00FF7CC5">
        <w:rPr>
          <w:rFonts w:ascii="Times New Roman" w:hAnsi="Times New Roman" w:cs="Times New Roman"/>
          <w:szCs w:val="24"/>
        </w:rPr>
        <w:br w:type="page"/>
      </w:r>
    </w:p>
    <w:p w14:paraId="17E68955" w14:textId="77777777" w:rsidR="004B7EB3" w:rsidRPr="00FF7CC5" w:rsidRDefault="004B7EB3" w:rsidP="004B7EB3">
      <w:pPr>
        <w:spacing w:after="0" w:line="240" w:lineRule="auto"/>
        <w:jc w:val="center"/>
        <w:rPr>
          <w:rFonts w:ascii="Times New Roman" w:hAnsi="Times New Roman" w:cs="Times New Roman"/>
          <w:b/>
          <w:sz w:val="24"/>
          <w:szCs w:val="24"/>
        </w:rPr>
      </w:pPr>
      <w:r w:rsidRPr="00FF7CC5">
        <w:rPr>
          <w:rFonts w:ascii="Times New Roman" w:hAnsi="Times New Roman" w:cs="Times New Roman"/>
          <w:b/>
          <w:sz w:val="24"/>
          <w:szCs w:val="24"/>
        </w:rPr>
        <w:lastRenderedPageBreak/>
        <w:t>Supplemental References</w:t>
      </w:r>
    </w:p>
    <w:p w14:paraId="022F3908" w14:textId="77777777" w:rsidR="004B7EB3" w:rsidRPr="00FF7CC5" w:rsidRDefault="004B7EB3" w:rsidP="004B7EB3">
      <w:pPr>
        <w:spacing w:after="0" w:line="240" w:lineRule="auto"/>
        <w:jc w:val="center"/>
        <w:rPr>
          <w:rFonts w:ascii="Times New Roman" w:hAnsi="Times New Roman" w:cs="Times New Roman"/>
          <w:b/>
          <w:sz w:val="24"/>
          <w:szCs w:val="24"/>
        </w:rPr>
      </w:pPr>
    </w:p>
    <w:p w14:paraId="3C265B94" w14:textId="77777777" w:rsidR="00D26C23" w:rsidRPr="00D26C23" w:rsidRDefault="004B7EB3" w:rsidP="00D26C23">
      <w:pPr>
        <w:pStyle w:val="Bibliography"/>
        <w:rPr>
          <w:rFonts w:ascii="Times New Roman" w:hAnsi="Times New Roman" w:cs="Times New Roman"/>
          <w:sz w:val="24"/>
        </w:rPr>
      </w:pPr>
      <w:r w:rsidRPr="00FF7CC5">
        <w:rPr>
          <w:b/>
        </w:rPr>
        <w:fldChar w:fldCharType="begin"/>
      </w:r>
      <w:r w:rsidR="00014071" w:rsidRPr="00FF7CC5">
        <w:rPr>
          <w:b/>
        </w:rPr>
        <w:instrText xml:space="preserve"> ADDIN ZOTERO_BIBL {"uncited":[],"omitted":[],"custom":[]} CSL_BIBLIOGRAPHY </w:instrText>
      </w:r>
      <w:r w:rsidRPr="00FF7CC5">
        <w:rPr>
          <w:b/>
        </w:rPr>
        <w:fldChar w:fldCharType="separate"/>
      </w:r>
      <w:r w:rsidR="00D26C23" w:rsidRPr="00D26C23">
        <w:rPr>
          <w:rFonts w:ascii="Times New Roman" w:hAnsi="Times New Roman" w:cs="Times New Roman"/>
          <w:sz w:val="24"/>
        </w:rPr>
        <w:t xml:space="preserve">Barratt, W. (2006). The Barratt simplified measure of social status (BSMSS): Measuring SES. </w:t>
      </w:r>
      <w:r w:rsidR="00D26C23" w:rsidRPr="00D26C23">
        <w:rPr>
          <w:rFonts w:ascii="Times New Roman" w:hAnsi="Times New Roman" w:cs="Times New Roman"/>
          <w:i/>
          <w:iCs/>
          <w:sz w:val="24"/>
        </w:rPr>
        <w:t>Unpublished Manuscript, Indiana State University</w:t>
      </w:r>
      <w:r w:rsidR="00D26C23" w:rsidRPr="00D26C23">
        <w:rPr>
          <w:rFonts w:ascii="Times New Roman" w:hAnsi="Times New Roman" w:cs="Times New Roman"/>
          <w:sz w:val="24"/>
        </w:rPr>
        <w:t>.</w:t>
      </w:r>
    </w:p>
    <w:p w14:paraId="26941B2D"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Contractor, A. A., </w:t>
      </w:r>
      <w:proofErr w:type="spellStart"/>
      <w:r w:rsidRPr="00D26C23">
        <w:rPr>
          <w:rFonts w:ascii="Times New Roman" w:hAnsi="Times New Roman" w:cs="Times New Roman"/>
          <w:sz w:val="24"/>
        </w:rPr>
        <w:t>Banducci</w:t>
      </w:r>
      <w:proofErr w:type="spellEnd"/>
      <w:r w:rsidRPr="00D26C23">
        <w:rPr>
          <w:rFonts w:ascii="Times New Roman" w:hAnsi="Times New Roman" w:cs="Times New Roman"/>
          <w:sz w:val="24"/>
        </w:rPr>
        <w:t xml:space="preserve">, A. N., Dolan, M., Keegan, F., &amp; Weiss, N. H. (2019). Relation of positive memory recall count and accessibility with post-trauma mental health. </w:t>
      </w:r>
      <w:r w:rsidRPr="00D26C23">
        <w:rPr>
          <w:rFonts w:ascii="Times New Roman" w:hAnsi="Times New Roman" w:cs="Times New Roman"/>
          <w:i/>
          <w:iCs/>
          <w:sz w:val="24"/>
        </w:rPr>
        <w:t>Memory</w:t>
      </w:r>
      <w:r w:rsidRPr="00D26C23">
        <w:rPr>
          <w:rFonts w:ascii="Times New Roman" w:hAnsi="Times New Roman" w:cs="Times New Roman"/>
          <w:sz w:val="24"/>
        </w:rPr>
        <w:t xml:space="preserve">, </w:t>
      </w:r>
      <w:r w:rsidRPr="00D26C23">
        <w:rPr>
          <w:rFonts w:ascii="Times New Roman" w:hAnsi="Times New Roman" w:cs="Times New Roman"/>
          <w:i/>
          <w:iCs/>
          <w:sz w:val="24"/>
        </w:rPr>
        <w:t>27</w:t>
      </w:r>
      <w:r w:rsidRPr="00D26C23">
        <w:rPr>
          <w:rFonts w:ascii="Times New Roman" w:hAnsi="Times New Roman" w:cs="Times New Roman"/>
          <w:sz w:val="24"/>
        </w:rPr>
        <w:t>(8), 1130–1143. https://doi.org/10.1080/09658211.2019.1628994</w:t>
      </w:r>
    </w:p>
    <w:p w14:paraId="1AE36218"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Frewen</w:t>
      </w:r>
      <w:proofErr w:type="spellEnd"/>
      <w:r w:rsidRPr="00D26C23">
        <w:rPr>
          <w:rFonts w:ascii="Times New Roman" w:hAnsi="Times New Roman" w:cs="Times New Roman"/>
          <w:sz w:val="24"/>
        </w:rPr>
        <w:t xml:space="preserve">, P. A., Dean, J. A., &amp; </w:t>
      </w:r>
      <w:proofErr w:type="spellStart"/>
      <w:r w:rsidRPr="00D26C23">
        <w:rPr>
          <w:rFonts w:ascii="Times New Roman" w:hAnsi="Times New Roman" w:cs="Times New Roman"/>
          <w:sz w:val="24"/>
        </w:rPr>
        <w:t>Lanius</w:t>
      </w:r>
      <w:proofErr w:type="spellEnd"/>
      <w:r w:rsidRPr="00D26C23">
        <w:rPr>
          <w:rFonts w:ascii="Times New Roman" w:hAnsi="Times New Roman" w:cs="Times New Roman"/>
          <w:sz w:val="24"/>
        </w:rPr>
        <w:t xml:space="preserve">, R. A. (2012). Assessment of anhedonia in psychological trauma: Development of the Hedonic Deficit and Interference Scale. </w:t>
      </w:r>
      <w:r w:rsidRPr="00D26C23">
        <w:rPr>
          <w:rFonts w:ascii="Times New Roman" w:hAnsi="Times New Roman" w:cs="Times New Roman"/>
          <w:i/>
          <w:iCs/>
          <w:sz w:val="24"/>
        </w:rPr>
        <w:t xml:space="preserve">European Journal of </w:t>
      </w:r>
      <w:proofErr w:type="spellStart"/>
      <w:r w:rsidRPr="00D26C23">
        <w:rPr>
          <w:rFonts w:ascii="Times New Roman" w:hAnsi="Times New Roman" w:cs="Times New Roman"/>
          <w:i/>
          <w:iCs/>
          <w:sz w:val="24"/>
        </w:rPr>
        <w:t>Psychotraumatology</w:t>
      </w:r>
      <w:proofErr w:type="spellEnd"/>
      <w:r w:rsidRPr="00D26C23">
        <w:rPr>
          <w:rFonts w:ascii="Times New Roman" w:hAnsi="Times New Roman" w:cs="Times New Roman"/>
          <w:sz w:val="24"/>
        </w:rPr>
        <w:t xml:space="preserve">, </w:t>
      </w:r>
      <w:r w:rsidRPr="00D26C23">
        <w:rPr>
          <w:rFonts w:ascii="Times New Roman" w:hAnsi="Times New Roman" w:cs="Times New Roman"/>
          <w:i/>
          <w:iCs/>
          <w:sz w:val="24"/>
        </w:rPr>
        <w:t>3</w:t>
      </w:r>
      <w:r w:rsidRPr="00D26C23">
        <w:rPr>
          <w:rFonts w:ascii="Times New Roman" w:hAnsi="Times New Roman" w:cs="Times New Roman"/>
          <w:sz w:val="24"/>
        </w:rPr>
        <w:t>(1), 8585. https://doi.org/10.3402/ejpt.v3i0.8585</w:t>
      </w:r>
    </w:p>
    <w:p w14:paraId="2036F6E8"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Hu, L., &amp; </w:t>
      </w:r>
      <w:proofErr w:type="spellStart"/>
      <w:r w:rsidRPr="00D26C23">
        <w:rPr>
          <w:rFonts w:ascii="Times New Roman" w:hAnsi="Times New Roman" w:cs="Times New Roman"/>
          <w:sz w:val="24"/>
        </w:rPr>
        <w:t>Bentler</w:t>
      </w:r>
      <w:proofErr w:type="spellEnd"/>
      <w:r w:rsidRPr="00D26C23">
        <w:rPr>
          <w:rFonts w:ascii="Times New Roman" w:hAnsi="Times New Roman" w:cs="Times New Roman"/>
          <w:sz w:val="24"/>
        </w:rPr>
        <w:t xml:space="preserve">, P. M. (1999). Cutoff criteria for fit indexes in covariance structure analysis: Conventional criteria versus new alternatives. </w:t>
      </w:r>
      <w:r w:rsidRPr="00D26C23">
        <w:rPr>
          <w:rFonts w:ascii="Times New Roman" w:hAnsi="Times New Roman" w:cs="Times New Roman"/>
          <w:i/>
          <w:iCs/>
          <w:sz w:val="24"/>
        </w:rPr>
        <w:t>Structural Equation Modeling: A Multidisciplinary Journal</w:t>
      </w:r>
      <w:r w:rsidRPr="00D26C23">
        <w:rPr>
          <w:rFonts w:ascii="Times New Roman" w:hAnsi="Times New Roman" w:cs="Times New Roman"/>
          <w:sz w:val="24"/>
        </w:rPr>
        <w:t xml:space="preserve">, </w:t>
      </w:r>
      <w:r w:rsidRPr="00D26C23">
        <w:rPr>
          <w:rFonts w:ascii="Times New Roman" w:hAnsi="Times New Roman" w:cs="Times New Roman"/>
          <w:i/>
          <w:iCs/>
          <w:sz w:val="24"/>
        </w:rPr>
        <w:t>6</w:t>
      </w:r>
      <w:r w:rsidRPr="00D26C23">
        <w:rPr>
          <w:rFonts w:ascii="Times New Roman" w:hAnsi="Times New Roman" w:cs="Times New Roman"/>
          <w:sz w:val="24"/>
        </w:rPr>
        <w:t>(1), 1–55. https://doi.org/10.1080/10705519909540118</w:t>
      </w:r>
    </w:p>
    <w:p w14:paraId="77AAE0FE"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Hughes, A. A., &amp; Kendall, P. C. (2009). Psychometric Properties of the Positive and Negative Affect Scale for Children (PANAS-C) in Children with Anxiety Disorders. </w:t>
      </w:r>
      <w:r w:rsidRPr="00D26C23">
        <w:rPr>
          <w:rFonts w:ascii="Times New Roman" w:hAnsi="Times New Roman" w:cs="Times New Roman"/>
          <w:i/>
          <w:iCs/>
          <w:sz w:val="24"/>
        </w:rPr>
        <w:t>Child Psychiatry and Human Development</w:t>
      </w:r>
      <w:r w:rsidRPr="00D26C23">
        <w:rPr>
          <w:rFonts w:ascii="Times New Roman" w:hAnsi="Times New Roman" w:cs="Times New Roman"/>
          <w:sz w:val="24"/>
        </w:rPr>
        <w:t xml:space="preserve">, </w:t>
      </w:r>
      <w:r w:rsidRPr="00D26C23">
        <w:rPr>
          <w:rFonts w:ascii="Times New Roman" w:hAnsi="Times New Roman" w:cs="Times New Roman"/>
          <w:i/>
          <w:iCs/>
          <w:sz w:val="24"/>
        </w:rPr>
        <w:t>40</w:t>
      </w:r>
      <w:r w:rsidRPr="00D26C23">
        <w:rPr>
          <w:rFonts w:ascii="Times New Roman" w:hAnsi="Times New Roman" w:cs="Times New Roman"/>
          <w:sz w:val="24"/>
        </w:rPr>
        <w:t>(3), 343–352. https://doi.org/10.1007/s10578-009-0130-4</w:t>
      </w:r>
    </w:p>
    <w:p w14:paraId="718671BF"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Kievit</w:t>
      </w:r>
      <w:proofErr w:type="spellEnd"/>
      <w:r w:rsidRPr="00D26C23">
        <w:rPr>
          <w:rFonts w:ascii="Times New Roman" w:hAnsi="Times New Roman" w:cs="Times New Roman"/>
          <w:sz w:val="24"/>
        </w:rPr>
        <w:t xml:space="preserve">, R. A., </w:t>
      </w:r>
      <w:proofErr w:type="spellStart"/>
      <w:r w:rsidRPr="00D26C23">
        <w:rPr>
          <w:rFonts w:ascii="Times New Roman" w:hAnsi="Times New Roman" w:cs="Times New Roman"/>
          <w:sz w:val="24"/>
        </w:rPr>
        <w:t>Brandmaier</w:t>
      </w:r>
      <w:proofErr w:type="spellEnd"/>
      <w:r w:rsidRPr="00D26C23">
        <w:rPr>
          <w:rFonts w:ascii="Times New Roman" w:hAnsi="Times New Roman" w:cs="Times New Roman"/>
          <w:sz w:val="24"/>
        </w:rPr>
        <w:t xml:space="preserve">, A. M., Ziegler, G., van </w:t>
      </w:r>
      <w:proofErr w:type="spellStart"/>
      <w:r w:rsidRPr="00D26C23">
        <w:rPr>
          <w:rFonts w:ascii="Times New Roman" w:hAnsi="Times New Roman" w:cs="Times New Roman"/>
          <w:sz w:val="24"/>
        </w:rPr>
        <w:t>Harmelen</w:t>
      </w:r>
      <w:proofErr w:type="spellEnd"/>
      <w:r w:rsidRPr="00D26C23">
        <w:rPr>
          <w:rFonts w:ascii="Times New Roman" w:hAnsi="Times New Roman" w:cs="Times New Roman"/>
          <w:sz w:val="24"/>
        </w:rPr>
        <w:t xml:space="preserve">, A.-L., de </w:t>
      </w:r>
      <w:proofErr w:type="spellStart"/>
      <w:r w:rsidRPr="00D26C23">
        <w:rPr>
          <w:rFonts w:ascii="Times New Roman" w:hAnsi="Times New Roman" w:cs="Times New Roman"/>
          <w:sz w:val="24"/>
        </w:rPr>
        <w:t>Mooij</w:t>
      </w:r>
      <w:proofErr w:type="spellEnd"/>
      <w:r w:rsidRPr="00D26C23">
        <w:rPr>
          <w:rFonts w:ascii="Times New Roman" w:hAnsi="Times New Roman" w:cs="Times New Roman"/>
          <w:sz w:val="24"/>
        </w:rPr>
        <w:t xml:space="preserve">, S. M. M., </w:t>
      </w:r>
      <w:proofErr w:type="spellStart"/>
      <w:r w:rsidRPr="00D26C23">
        <w:rPr>
          <w:rFonts w:ascii="Times New Roman" w:hAnsi="Times New Roman" w:cs="Times New Roman"/>
          <w:sz w:val="24"/>
        </w:rPr>
        <w:t>Moutoussis</w:t>
      </w:r>
      <w:proofErr w:type="spellEnd"/>
      <w:r w:rsidRPr="00D26C23">
        <w:rPr>
          <w:rFonts w:ascii="Times New Roman" w:hAnsi="Times New Roman" w:cs="Times New Roman"/>
          <w:sz w:val="24"/>
        </w:rPr>
        <w:t xml:space="preserve">, M., Goodyer, I. M., </w:t>
      </w:r>
      <w:proofErr w:type="spellStart"/>
      <w:r w:rsidRPr="00D26C23">
        <w:rPr>
          <w:rFonts w:ascii="Times New Roman" w:hAnsi="Times New Roman" w:cs="Times New Roman"/>
          <w:sz w:val="24"/>
        </w:rPr>
        <w:t>Bullmore</w:t>
      </w:r>
      <w:proofErr w:type="spellEnd"/>
      <w:r w:rsidRPr="00D26C23">
        <w:rPr>
          <w:rFonts w:ascii="Times New Roman" w:hAnsi="Times New Roman" w:cs="Times New Roman"/>
          <w:sz w:val="24"/>
        </w:rPr>
        <w:t xml:space="preserve">, E., Jones, P. B., </w:t>
      </w:r>
      <w:proofErr w:type="spellStart"/>
      <w:r w:rsidRPr="00D26C23">
        <w:rPr>
          <w:rFonts w:ascii="Times New Roman" w:hAnsi="Times New Roman" w:cs="Times New Roman"/>
          <w:sz w:val="24"/>
        </w:rPr>
        <w:t>Fonagy</w:t>
      </w:r>
      <w:proofErr w:type="spellEnd"/>
      <w:r w:rsidRPr="00D26C23">
        <w:rPr>
          <w:rFonts w:ascii="Times New Roman" w:hAnsi="Times New Roman" w:cs="Times New Roman"/>
          <w:sz w:val="24"/>
        </w:rPr>
        <w:t xml:space="preserve">, P., </w:t>
      </w:r>
      <w:proofErr w:type="spellStart"/>
      <w:r w:rsidRPr="00D26C23">
        <w:rPr>
          <w:rFonts w:ascii="Times New Roman" w:hAnsi="Times New Roman" w:cs="Times New Roman"/>
          <w:sz w:val="24"/>
        </w:rPr>
        <w:t>Lindenberger</w:t>
      </w:r>
      <w:proofErr w:type="spellEnd"/>
      <w:r w:rsidRPr="00D26C23">
        <w:rPr>
          <w:rFonts w:ascii="Times New Roman" w:hAnsi="Times New Roman" w:cs="Times New Roman"/>
          <w:sz w:val="24"/>
        </w:rPr>
        <w:t xml:space="preserve">, U., &amp; Dolan, R. J. (2018). Developmental cognitive neuroscience using latent change score models: A tutorial and applications. </w:t>
      </w:r>
      <w:r w:rsidRPr="00D26C23">
        <w:rPr>
          <w:rFonts w:ascii="Times New Roman" w:hAnsi="Times New Roman" w:cs="Times New Roman"/>
          <w:i/>
          <w:iCs/>
          <w:sz w:val="24"/>
        </w:rPr>
        <w:t>Developmental Cognitive Neuroscience</w:t>
      </w:r>
      <w:r w:rsidRPr="00D26C23">
        <w:rPr>
          <w:rFonts w:ascii="Times New Roman" w:hAnsi="Times New Roman" w:cs="Times New Roman"/>
          <w:sz w:val="24"/>
        </w:rPr>
        <w:t xml:space="preserve">, </w:t>
      </w:r>
      <w:r w:rsidRPr="00D26C23">
        <w:rPr>
          <w:rFonts w:ascii="Times New Roman" w:hAnsi="Times New Roman" w:cs="Times New Roman"/>
          <w:i/>
          <w:iCs/>
          <w:sz w:val="24"/>
        </w:rPr>
        <w:t>33</w:t>
      </w:r>
      <w:r w:rsidRPr="00D26C23">
        <w:rPr>
          <w:rFonts w:ascii="Times New Roman" w:hAnsi="Times New Roman" w:cs="Times New Roman"/>
          <w:sz w:val="24"/>
        </w:rPr>
        <w:t>, 99–117. https://doi.org/10.1016/j.dcn.2017.11.007</w:t>
      </w:r>
    </w:p>
    <w:p w14:paraId="4DC6A7CB"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Ladouceur, C. D. (2020). </w:t>
      </w:r>
      <w:r w:rsidRPr="00D26C23">
        <w:rPr>
          <w:rFonts w:ascii="Times New Roman" w:hAnsi="Times New Roman" w:cs="Times New Roman"/>
          <w:i/>
          <w:iCs/>
          <w:sz w:val="24"/>
        </w:rPr>
        <w:t>COVID-19 Adolescent Symptom &amp; Psychological Experience Questionnaire</w:t>
      </w:r>
      <w:r w:rsidRPr="00D26C23">
        <w:rPr>
          <w:rFonts w:ascii="Times New Roman" w:hAnsi="Times New Roman" w:cs="Times New Roman"/>
          <w:sz w:val="24"/>
        </w:rPr>
        <w:t>.</w:t>
      </w:r>
    </w:p>
    <w:p w14:paraId="591FF6E1"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lastRenderedPageBreak/>
        <w:t xml:space="preserve">Landis, D., Courtney, W., </w:t>
      </w:r>
      <w:proofErr w:type="spellStart"/>
      <w:r w:rsidRPr="00D26C23">
        <w:rPr>
          <w:rFonts w:ascii="Times New Roman" w:hAnsi="Times New Roman" w:cs="Times New Roman"/>
          <w:sz w:val="24"/>
        </w:rPr>
        <w:t>Dieringer</w:t>
      </w:r>
      <w:proofErr w:type="spellEnd"/>
      <w:r w:rsidRPr="00D26C23">
        <w:rPr>
          <w:rFonts w:ascii="Times New Roman" w:hAnsi="Times New Roman" w:cs="Times New Roman"/>
          <w:sz w:val="24"/>
        </w:rPr>
        <w:t xml:space="preserve">, C., Kelly, R., King, M., Miller, B., Wang, R., Wood, D., Turner, J. A., &amp; Calhoun, V. D. (2016). COINS Data Exchange: An open platform for compiling, curating, and disseminating neuroimaging data. </w:t>
      </w:r>
      <w:proofErr w:type="spellStart"/>
      <w:r w:rsidRPr="00D26C23">
        <w:rPr>
          <w:rFonts w:ascii="Times New Roman" w:hAnsi="Times New Roman" w:cs="Times New Roman"/>
          <w:i/>
          <w:iCs/>
          <w:sz w:val="24"/>
        </w:rPr>
        <w:t>NeuroImage</w:t>
      </w:r>
      <w:proofErr w:type="spellEnd"/>
      <w:r w:rsidRPr="00D26C23">
        <w:rPr>
          <w:rFonts w:ascii="Times New Roman" w:hAnsi="Times New Roman" w:cs="Times New Roman"/>
          <w:sz w:val="24"/>
        </w:rPr>
        <w:t xml:space="preserve">, </w:t>
      </w:r>
      <w:r w:rsidRPr="00D26C23">
        <w:rPr>
          <w:rFonts w:ascii="Times New Roman" w:hAnsi="Times New Roman" w:cs="Times New Roman"/>
          <w:i/>
          <w:iCs/>
          <w:sz w:val="24"/>
        </w:rPr>
        <w:t>124</w:t>
      </w:r>
      <w:r w:rsidRPr="00D26C23">
        <w:rPr>
          <w:rFonts w:ascii="Times New Roman" w:hAnsi="Times New Roman" w:cs="Times New Roman"/>
          <w:sz w:val="24"/>
        </w:rPr>
        <w:t>, 1084–1088. https://doi.org/10.1016/j.neuroimage.2015.05.049</w:t>
      </w:r>
    </w:p>
    <w:p w14:paraId="3A4EF14D"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Laurent, J., Catanzaro, S. J., Joiner, T. E. Jr., Rudolph, K. D., Potter, K. I., Lambert, S., Osborne, L., &amp; </w:t>
      </w:r>
      <w:proofErr w:type="spellStart"/>
      <w:r w:rsidRPr="00D26C23">
        <w:rPr>
          <w:rFonts w:ascii="Times New Roman" w:hAnsi="Times New Roman" w:cs="Times New Roman"/>
          <w:sz w:val="24"/>
        </w:rPr>
        <w:t>Gathright</w:t>
      </w:r>
      <w:proofErr w:type="spellEnd"/>
      <w:r w:rsidRPr="00D26C23">
        <w:rPr>
          <w:rFonts w:ascii="Times New Roman" w:hAnsi="Times New Roman" w:cs="Times New Roman"/>
          <w:sz w:val="24"/>
        </w:rPr>
        <w:t xml:space="preserve">, T. (1999). A measure of positive and negative affect for children: Scale development and preliminary validation. </w:t>
      </w:r>
      <w:r w:rsidRPr="00D26C23">
        <w:rPr>
          <w:rFonts w:ascii="Times New Roman" w:hAnsi="Times New Roman" w:cs="Times New Roman"/>
          <w:i/>
          <w:iCs/>
          <w:sz w:val="24"/>
        </w:rPr>
        <w:t>Psychological Assessment</w:t>
      </w:r>
      <w:r w:rsidRPr="00D26C23">
        <w:rPr>
          <w:rFonts w:ascii="Times New Roman" w:hAnsi="Times New Roman" w:cs="Times New Roman"/>
          <w:sz w:val="24"/>
        </w:rPr>
        <w:t xml:space="preserve">, </w:t>
      </w:r>
      <w:r w:rsidRPr="00D26C23">
        <w:rPr>
          <w:rFonts w:ascii="Times New Roman" w:hAnsi="Times New Roman" w:cs="Times New Roman"/>
          <w:i/>
          <w:iCs/>
          <w:sz w:val="24"/>
        </w:rPr>
        <w:t>11</w:t>
      </w:r>
      <w:r w:rsidRPr="00D26C23">
        <w:rPr>
          <w:rFonts w:ascii="Times New Roman" w:hAnsi="Times New Roman" w:cs="Times New Roman"/>
          <w:sz w:val="24"/>
        </w:rPr>
        <w:t>(3), 326–338. https://doi.org/10.1037/1040-3590.11.3.326</w:t>
      </w:r>
    </w:p>
    <w:p w14:paraId="018BEF78"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McNeish</w:t>
      </w:r>
      <w:proofErr w:type="spellEnd"/>
      <w:r w:rsidRPr="00D26C23">
        <w:rPr>
          <w:rFonts w:ascii="Times New Roman" w:hAnsi="Times New Roman" w:cs="Times New Roman"/>
          <w:sz w:val="24"/>
        </w:rPr>
        <w:t xml:space="preserve">, D., &amp; Matta, T. (2018). Differentiating between mixed-effects and latent-curve approaches to growth modeling. </w:t>
      </w:r>
      <w:r w:rsidRPr="00D26C23">
        <w:rPr>
          <w:rFonts w:ascii="Times New Roman" w:hAnsi="Times New Roman" w:cs="Times New Roman"/>
          <w:i/>
          <w:iCs/>
          <w:sz w:val="24"/>
        </w:rPr>
        <w:t>Behavior Research Methods</w:t>
      </w:r>
      <w:r w:rsidRPr="00D26C23">
        <w:rPr>
          <w:rFonts w:ascii="Times New Roman" w:hAnsi="Times New Roman" w:cs="Times New Roman"/>
          <w:sz w:val="24"/>
        </w:rPr>
        <w:t xml:space="preserve">, </w:t>
      </w:r>
      <w:r w:rsidRPr="00D26C23">
        <w:rPr>
          <w:rFonts w:ascii="Times New Roman" w:hAnsi="Times New Roman" w:cs="Times New Roman"/>
          <w:i/>
          <w:iCs/>
          <w:sz w:val="24"/>
        </w:rPr>
        <w:t>50</w:t>
      </w:r>
      <w:r w:rsidRPr="00D26C23">
        <w:rPr>
          <w:rFonts w:ascii="Times New Roman" w:hAnsi="Times New Roman" w:cs="Times New Roman"/>
          <w:sz w:val="24"/>
        </w:rPr>
        <w:t>(4), 1398–1414. https://doi.org/10.3758/s13428-017-0976-5</w:t>
      </w:r>
    </w:p>
    <w:p w14:paraId="706E6F8F"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Monson, C. M., Price, J. L., Rodriguez, B. F., Ripley, M. P., &amp; Warner, R. A. (2004). Emotional deficits in military-related PTSD: An investigation of content and process disturbances. </w:t>
      </w:r>
      <w:r w:rsidRPr="00D26C23">
        <w:rPr>
          <w:rFonts w:ascii="Times New Roman" w:hAnsi="Times New Roman" w:cs="Times New Roman"/>
          <w:i/>
          <w:iCs/>
          <w:sz w:val="24"/>
        </w:rPr>
        <w:t>Journal of Traumatic Stress</w:t>
      </w:r>
      <w:r w:rsidRPr="00D26C23">
        <w:rPr>
          <w:rFonts w:ascii="Times New Roman" w:hAnsi="Times New Roman" w:cs="Times New Roman"/>
          <w:sz w:val="24"/>
        </w:rPr>
        <w:t xml:space="preserve">, </w:t>
      </w:r>
      <w:r w:rsidRPr="00D26C23">
        <w:rPr>
          <w:rFonts w:ascii="Times New Roman" w:hAnsi="Times New Roman" w:cs="Times New Roman"/>
          <w:i/>
          <w:iCs/>
          <w:sz w:val="24"/>
        </w:rPr>
        <w:t>17</w:t>
      </w:r>
      <w:r w:rsidRPr="00D26C23">
        <w:rPr>
          <w:rFonts w:ascii="Times New Roman" w:hAnsi="Times New Roman" w:cs="Times New Roman"/>
          <w:sz w:val="24"/>
        </w:rPr>
        <w:t>(3), 275–279. https://doi.org/10.1023/B:JOTS.0000029271.58494.05</w:t>
      </w:r>
    </w:p>
    <w:p w14:paraId="57BABE28"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Muthen</w:t>
      </w:r>
      <w:proofErr w:type="spellEnd"/>
      <w:r w:rsidRPr="00D26C23">
        <w:rPr>
          <w:rFonts w:ascii="Times New Roman" w:hAnsi="Times New Roman" w:cs="Times New Roman"/>
          <w:sz w:val="24"/>
        </w:rPr>
        <w:t xml:space="preserve">, L. K., &amp; </w:t>
      </w:r>
      <w:proofErr w:type="spellStart"/>
      <w:r w:rsidRPr="00D26C23">
        <w:rPr>
          <w:rFonts w:ascii="Times New Roman" w:hAnsi="Times New Roman" w:cs="Times New Roman"/>
          <w:sz w:val="24"/>
        </w:rPr>
        <w:t>Muthén</w:t>
      </w:r>
      <w:proofErr w:type="spellEnd"/>
      <w:r w:rsidRPr="00D26C23">
        <w:rPr>
          <w:rFonts w:ascii="Times New Roman" w:hAnsi="Times New Roman" w:cs="Times New Roman"/>
          <w:sz w:val="24"/>
        </w:rPr>
        <w:t xml:space="preserve">, B. O. (2012). </w:t>
      </w:r>
      <w:proofErr w:type="spellStart"/>
      <w:r w:rsidRPr="00D26C23">
        <w:rPr>
          <w:rFonts w:ascii="Times New Roman" w:hAnsi="Times New Roman" w:cs="Times New Roman"/>
          <w:i/>
          <w:iCs/>
          <w:sz w:val="24"/>
        </w:rPr>
        <w:t>Mplus</w:t>
      </w:r>
      <w:proofErr w:type="spellEnd"/>
      <w:r w:rsidRPr="00D26C23">
        <w:rPr>
          <w:rFonts w:ascii="Times New Roman" w:hAnsi="Times New Roman" w:cs="Times New Roman"/>
          <w:i/>
          <w:iCs/>
          <w:sz w:val="24"/>
        </w:rPr>
        <w:t xml:space="preserve"> User’s Guide</w:t>
      </w:r>
      <w:r w:rsidRPr="00D26C23">
        <w:rPr>
          <w:rFonts w:ascii="Times New Roman" w:hAnsi="Times New Roman" w:cs="Times New Roman"/>
          <w:sz w:val="24"/>
        </w:rPr>
        <w:t xml:space="preserve"> (Seventh). </w:t>
      </w:r>
      <w:proofErr w:type="spellStart"/>
      <w:r w:rsidRPr="00D26C23">
        <w:rPr>
          <w:rFonts w:ascii="Times New Roman" w:hAnsi="Times New Roman" w:cs="Times New Roman"/>
          <w:sz w:val="24"/>
        </w:rPr>
        <w:t>Muthen</w:t>
      </w:r>
      <w:proofErr w:type="spellEnd"/>
      <w:r w:rsidRPr="00D26C23">
        <w:rPr>
          <w:rFonts w:ascii="Times New Roman" w:hAnsi="Times New Roman" w:cs="Times New Roman"/>
          <w:sz w:val="24"/>
        </w:rPr>
        <w:t xml:space="preserve"> &amp; </w:t>
      </w:r>
      <w:proofErr w:type="spellStart"/>
      <w:r w:rsidRPr="00D26C23">
        <w:rPr>
          <w:rFonts w:ascii="Times New Roman" w:hAnsi="Times New Roman" w:cs="Times New Roman"/>
          <w:sz w:val="24"/>
        </w:rPr>
        <w:t>Muthen</w:t>
      </w:r>
      <w:proofErr w:type="spellEnd"/>
      <w:r w:rsidRPr="00D26C23">
        <w:rPr>
          <w:rFonts w:ascii="Times New Roman" w:hAnsi="Times New Roman" w:cs="Times New Roman"/>
          <w:sz w:val="24"/>
        </w:rPr>
        <w:t>. https://www.statmodel.com/download/usersguide/Mplus%20user%20guide%20Ver_7_r6_web.pdf</w:t>
      </w:r>
    </w:p>
    <w:p w14:paraId="321DD7A1"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Ouellet-Morin, I., Laurin, M., Robitaille, M.-P., </w:t>
      </w:r>
      <w:proofErr w:type="spellStart"/>
      <w:r w:rsidRPr="00D26C23">
        <w:rPr>
          <w:rFonts w:ascii="Times New Roman" w:hAnsi="Times New Roman" w:cs="Times New Roman"/>
          <w:sz w:val="24"/>
        </w:rPr>
        <w:t>Brendgen</w:t>
      </w:r>
      <w:proofErr w:type="spellEnd"/>
      <w:r w:rsidRPr="00D26C23">
        <w:rPr>
          <w:rFonts w:ascii="Times New Roman" w:hAnsi="Times New Roman" w:cs="Times New Roman"/>
          <w:sz w:val="24"/>
        </w:rPr>
        <w:t xml:space="preserve">, M., </w:t>
      </w:r>
      <w:proofErr w:type="spellStart"/>
      <w:r w:rsidRPr="00D26C23">
        <w:rPr>
          <w:rFonts w:ascii="Times New Roman" w:hAnsi="Times New Roman" w:cs="Times New Roman"/>
          <w:sz w:val="24"/>
        </w:rPr>
        <w:t>Lupien</w:t>
      </w:r>
      <w:proofErr w:type="spellEnd"/>
      <w:r w:rsidRPr="00D26C23">
        <w:rPr>
          <w:rFonts w:ascii="Times New Roman" w:hAnsi="Times New Roman" w:cs="Times New Roman"/>
          <w:sz w:val="24"/>
        </w:rPr>
        <w:t xml:space="preserve">, S. J., Boivin, M., &amp; </w:t>
      </w:r>
      <w:proofErr w:type="spellStart"/>
      <w:r w:rsidRPr="00D26C23">
        <w:rPr>
          <w:rFonts w:ascii="Times New Roman" w:hAnsi="Times New Roman" w:cs="Times New Roman"/>
          <w:sz w:val="24"/>
        </w:rPr>
        <w:t>Vitaro</w:t>
      </w:r>
      <w:proofErr w:type="spellEnd"/>
      <w:r w:rsidRPr="00D26C23">
        <w:rPr>
          <w:rFonts w:ascii="Times New Roman" w:hAnsi="Times New Roman" w:cs="Times New Roman"/>
          <w:sz w:val="24"/>
        </w:rPr>
        <w:t xml:space="preserve">, F. (2016). Validation of an adapted procedure to collect hair for cortisol determination in adolescents. </w:t>
      </w:r>
      <w:proofErr w:type="spellStart"/>
      <w:r w:rsidRPr="00D26C23">
        <w:rPr>
          <w:rFonts w:ascii="Times New Roman" w:hAnsi="Times New Roman" w:cs="Times New Roman"/>
          <w:i/>
          <w:iCs/>
          <w:sz w:val="24"/>
        </w:rPr>
        <w:t>Psychoneuroendocrinology</w:t>
      </w:r>
      <w:proofErr w:type="spellEnd"/>
      <w:r w:rsidRPr="00D26C23">
        <w:rPr>
          <w:rFonts w:ascii="Times New Roman" w:hAnsi="Times New Roman" w:cs="Times New Roman"/>
          <w:sz w:val="24"/>
        </w:rPr>
        <w:t xml:space="preserve">, </w:t>
      </w:r>
      <w:r w:rsidRPr="00D26C23">
        <w:rPr>
          <w:rFonts w:ascii="Times New Roman" w:hAnsi="Times New Roman" w:cs="Times New Roman"/>
          <w:i/>
          <w:iCs/>
          <w:sz w:val="24"/>
        </w:rPr>
        <w:t>70</w:t>
      </w:r>
      <w:r w:rsidRPr="00D26C23">
        <w:rPr>
          <w:rFonts w:ascii="Times New Roman" w:hAnsi="Times New Roman" w:cs="Times New Roman"/>
          <w:sz w:val="24"/>
        </w:rPr>
        <w:t>, 58–62. https://doi.org/10.1016/j.psyneuen.2016.05.002</w:t>
      </w:r>
    </w:p>
    <w:p w14:paraId="3DE5FFD3"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lastRenderedPageBreak/>
        <w:t xml:space="preserve">Ramirez, J., </w:t>
      </w:r>
      <w:proofErr w:type="spellStart"/>
      <w:r w:rsidRPr="00D26C23">
        <w:rPr>
          <w:rFonts w:ascii="Times New Roman" w:hAnsi="Times New Roman" w:cs="Times New Roman"/>
          <w:sz w:val="24"/>
        </w:rPr>
        <w:t>Elmofty</w:t>
      </w:r>
      <w:proofErr w:type="spellEnd"/>
      <w:r w:rsidRPr="00D26C23">
        <w:rPr>
          <w:rFonts w:ascii="Times New Roman" w:hAnsi="Times New Roman" w:cs="Times New Roman"/>
          <w:sz w:val="24"/>
        </w:rPr>
        <w:t xml:space="preserve">, M., Castillo, E., </w:t>
      </w:r>
      <w:proofErr w:type="spellStart"/>
      <w:r w:rsidRPr="00D26C23">
        <w:rPr>
          <w:rFonts w:ascii="Times New Roman" w:hAnsi="Times New Roman" w:cs="Times New Roman"/>
          <w:sz w:val="24"/>
        </w:rPr>
        <w:t>DeRouen</w:t>
      </w:r>
      <w:proofErr w:type="spellEnd"/>
      <w:r w:rsidRPr="00D26C23">
        <w:rPr>
          <w:rFonts w:ascii="Times New Roman" w:hAnsi="Times New Roman" w:cs="Times New Roman"/>
          <w:sz w:val="24"/>
        </w:rPr>
        <w:t xml:space="preserve">, M., Shariff-Marco, S., Allen, L., Gomez, S. L., </w:t>
      </w:r>
      <w:proofErr w:type="spellStart"/>
      <w:r w:rsidRPr="00D26C23">
        <w:rPr>
          <w:rFonts w:ascii="Times New Roman" w:hAnsi="Times New Roman" w:cs="Times New Roman"/>
          <w:sz w:val="24"/>
        </w:rPr>
        <w:t>Nápoles</w:t>
      </w:r>
      <w:proofErr w:type="spellEnd"/>
      <w:r w:rsidRPr="00D26C23">
        <w:rPr>
          <w:rFonts w:ascii="Times New Roman" w:hAnsi="Times New Roman" w:cs="Times New Roman"/>
          <w:sz w:val="24"/>
        </w:rPr>
        <w:t>, A. M., &amp; Márquez-</w:t>
      </w:r>
      <w:proofErr w:type="spellStart"/>
      <w:r w:rsidRPr="00D26C23">
        <w:rPr>
          <w:rFonts w:ascii="Times New Roman" w:hAnsi="Times New Roman" w:cs="Times New Roman"/>
          <w:sz w:val="24"/>
        </w:rPr>
        <w:t>Magaña</w:t>
      </w:r>
      <w:proofErr w:type="spellEnd"/>
      <w:r w:rsidRPr="00D26C23">
        <w:rPr>
          <w:rFonts w:ascii="Times New Roman" w:hAnsi="Times New Roman" w:cs="Times New Roman"/>
          <w:sz w:val="24"/>
        </w:rPr>
        <w:t xml:space="preserve">, L. (2017). Evaluation of cortisol and telomere length measurements in ethnically diverse women with breast cancer using culturally sensitive methods. </w:t>
      </w:r>
      <w:r w:rsidRPr="00D26C23">
        <w:rPr>
          <w:rFonts w:ascii="Times New Roman" w:hAnsi="Times New Roman" w:cs="Times New Roman"/>
          <w:i/>
          <w:iCs/>
          <w:sz w:val="24"/>
        </w:rPr>
        <w:t>Journal of Community Genetics</w:t>
      </w:r>
      <w:r w:rsidRPr="00D26C23">
        <w:rPr>
          <w:rFonts w:ascii="Times New Roman" w:hAnsi="Times New Roman" w:cs="Times New Roman"/>
          <w:sz w:val="24"/>
        </w:rPr>
        <w:t xml:space="preserve">, </w:t>
      </w:r>
      <w:r w:rsidRPr="00D26C23">
        <w:rPr>
          <w:rFonts w:ascii="Times New Roman" w:hAnsi="Times New Roman" w:cs="Times New Roman"/>
          <w:i/>
          <w:iCs/>
          <w:sz w:val="24"/>
        </w:rPr>
        <w:t>8</w:t>
      </w:r>
      <w:r w:rsidRPr="00D26C23">
        <w:rPr>
          <w:rFonts w:ascii="Times New Roman" w:hAnsi="Times New Roman" w:cs="Times New Roman"/>
          <w:sz w:val="24"/>
        </w:rPr>
        <w:t>(2), 75–86. https://doi.org/10.1007/s12687-016-0288-y</w:t>
      </w:r>
    </w:p>
    <w:p w14:paraId="3B940E4E"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Raudales</w:t>
      </w:r>
      <w:proofErr w:type="spellEnd"/>
      <w:r w:rsidRPr="00D26C23">
        <w:rPr>
          <w:rFonts w:ascii="Times New Roman" w:hAnsi="Times New Roman" w:cs="Times New Roman"/>
          <w:sz w:val="24"/>
        </w:rPr>
        <w:t xml:space="preserve">, A. M., Short, N. A., &amp; Schmidt, N. B. (2019). Emotion dysregulation mediates the relationship between trauma type and PTSD symptoms in a diverse trauma-exposed clinical sample. </w:t>
      </w:r>
      <w:r w:rsidRPr="00D26C23">
        <w:rPr>
          <w:rFonts w:ascii="Times New Roman" w:hAnsi="Times New Roman" w:cs="Times New Roman"/>
          <w:i/>
          <w:iCs/>
          <w:sz w:val="24"/>
        </w:rPr>
        <w:t>Personality and Individual Differences</w:t>
      </w:r>
      <w:r w:rsidRPr="00D26C23">
        <w:rPr>
          <w:rFonts w:ascii="Times New Roman" w:hAnsi="Times New Roman" w:cs="Times New Roman"/>
          <w:sz w:val="24"/>
        </w:rPr>
        <w:t xml:space="preserve">, </w:t>
      </w:r>
      <w:r w:rsidRPr="00D26C23">
        <w:rPr>
          <w:rFonts w:ascii="Times New Roman" w:hAnsi="Times New Roman" w:cs="Times New Roman"/>
          <w:i/>
          <w:iCs/>
          <w:sz w:val="24"/>
        </w:rPr>
        <w:t>139</w:t>
      </w:r>
      <w:r w:rsidRPr="00D26C23">
        <w:rPr>
          <w:rFonts w:ascii="Times New Roman" w:hAnsi="Times New Roman" w:cs="Times New Roman"/>
          <w:sz w:val="24"/>
        </w:rPr>
        <w:t>, 28–33. https://doi.org/10.1016/j.paid.2018.10.033</w:t>
      </w:r>
    </w:p>
    <w:p w14:paraId="39F59935"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Scott, A., Courtney, W., Wood, D., De la Garza, R., Lane, S., Wang, R., King, M., Roberts, J., Turner, J. A., &amp; Calhoun, V. D. (2011). COINS: An Innovative Informatics and Neuroimaging Tool Suite Built for Large Heterogeneous Datasets. </w:t>
      </w:r>
      <w:r w:rsidRPr="00D26C23">
        <w:rPr>
          <w:rFonts w:ascii="Times New Roman" w:hAnsi="Times New Roman" w:cs="Times New Roman"/>
          <w:i/>
          <w:iCs/>
          <w:sz w:val="24"/>
        </w:rPr>
        <w:t xml:space="preserve">Frontiers in </w:t>
      </w:r>
      <w:proofErr w:type="spellStart"/>
      <w:r w:rsidRPr="00D26C23">
        <w:rPr>
          <w:rFonts w:ascii="Times New Roman" w:hAnsi="Times New Roman" w:cs="Times New Roman"/>
          <w:i/>
          <w:iCs/>
          <w:sz w:val="24"/>
        </w:rPr>
        <w:t>Neuroinformatics</w:t>
      </w:r>
      <w:proofErr w:type="spellEnd"/>
      <w:r w:rsidRPr="00D26C23">
        <w:rPr>
          <w:rFonts w:ascii="Times New Roman" w:hAnsi="Times New Roman" w:cs="Times New Roman"/>
          <w:sz w:val="24"/>
        </w:rPr>
        <w:t xml:space="preserve">, </w:t>
      </w:r>
      <w:r w:rsidRPr="00D26C23">
        <w:rPr>
          <w:rFonts w:ascii="Times New Roman" w:hAnsi="Times New Roman" w:cs="Times New Roman"/>
          <w:i/>
          <w:iCs/>
          <w:sz w:val="24"/>
        </w:rPr>
        <w:t>5</w:t>
      </w:r>
      <w:r w:rsidRPr="00D26C23">
        <w:rPr>
          <w:rFonts w:ascii="Times New Roman" w:hAnsi="Times New Roman" w:cs="Times New Roman"/>
          <w:sz w:val="24"/>
        </w:rPr>
        <w:t>. https://doi.org/10.3389/fninf.2011.00033</w:t>
      </w:r>
    </w:p>
    <w:p w14:paraId="1E035C0D"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Seligowski</w:t>
      </w:r>
      <w:proofErr w:type="spellEnd"/>
      <w:r w:rsidRPr="00D26C23">
        <w:rPr>
          <w:rFonts w:ascii="Times New Roman" w:hAnsi="Times New Roman" w:cs="Times New Roman"/>
          <w:sz w:val="24"/>
        </w:rPr>
        <w:t xml:space="preserve">, A. V., &amp; Orcutt, H. K. (2016). Support for the 7-factor hybrid model of PTSD in a community sample. </w:t>
      </w:r>
      <w:r w:rsidRPr="00D26C23">
        <w:rPr>
          <w:rFonts w:ascii="Times New Roman" w:hAnsi="Times New Roman" w:cs="Times New Roman"/>
          <w:i/>
          <w:iCs/>
          <w:sz w:val="24"/>
        </w:rPr>
        <w:t>Psychological Trauma: Theory, Research, Practice, and Policy</w:t>
      </w:r>
      <w:r w:rsidRPr="00D26C23">
        <w:rPr>
          <w:rFonts w:ascii="Times New Roman" w:hAnsi="Times New Roman" w:cs="Times New Roman"/>
          <w:sz w:val="24"/>
        </w:rPr>
        <w:t xml:space="preserve">, </w:t>
      </w:r>
      <w:r w:rsidRPr="00D26C23">
        <w:rPr>
          <w:rFonts w:ascii="Times New Roman" w:hAnsi="Times New Roman" w:cs="Times New Roman"/>
          <w:i/>
          <w:iCs/>
          <w:sz w:val="24"/>
        </w:rPr>
        <w:t>8</w:t>
      </w:r>
      <w:r w:rsidRPr="00D26C23">
        <w:rPr>
          <w:rFonts w:ascii="Times New Roman" w:hAnsi="Times New Roman" w:cs="Times New Roman"/>
          <w:sz w:val="24"/>
        </w:rPr>
        <w:t>(2), 218–221. https://doi.org/10.1037/tra0000104</w:t>
      </w:r>
    </w:p>
    <w:p w14:paraId="01EF1161"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Short, S. J., </w:t>
      </w:r>
      <w:proofErr w:type="spellStart"/>
      <w:r w:rsidRPr="00D26C23">
        <w:rPr>
          <w:rFonts w:ascii="Times New Roman" w:hAnsi="Times New Roman" w:cs="Times New Roman"/>
          <w:sz w:val="24"/>
        </w:rPr>
        <w:t>Stalder</w:t>
      </w:r>
      <w:proofErr w:type="spellEnd"/>
      <w:r w:rsidRPr="00D26C23">
        <w:rPr>
          <w:rFonts w:ascii="Times New Roman" w:hAnsi="Times New Roman" w:cs="Times New Roman"/>
          <w:sz w:val="24"/>
        </w:rPr>
        <w:t xml:space="preserve">, T., Marceau, K., </w:t>
      </w:r>
      <w:proofErr w:type="spellStart"/>
      <w:r w:rsidRPr="00D26C23">
        <w:rPr>
          <w:rFonts w:ascii="Times New Roman" w:hAnsi="Times New Roman" w:cs="Times New Roman"/>
          <w:sz w:val="24"/>
        </w:rPr>
        <w:t>Entringer</w:t>
      </w:r>
      <w:proofErr w:type="spellEnd"/>
      <w:r w:rsidRPr="00D26C23">
        <w:rPr>
          <w:rFonts w:ascii="Times New Roman" w:hAnsi="Times New Roman" w:cs="Times New Roman"/>
          <w:sz w:val="24"/>
        </w:rPr>
        <w:t xml:space="preserve">, S., Moog, N. K., </w:t>
      </w:r>
      <w:proofErr w:type="spellStart"/>
      <w:r w:rsidRPr="00D26C23">
        <w:rPr>
          <w:rFonts w:ascii="Times New Roman" w:hAnsi="Times New Roman" w:cs="Times New Roman"/>
          <w:sz w:val="24"/>
        </w:rPr>
        <w:t>Shirtcliff</w:t>
      </w:r>
      <w:proofErr w:type="spellEnd"/>
      <w:r w:rsidRPr="00D26C23">
        <w:rPr>
          <w:rFonts w:ascii="Times New Roman" w:hAnsi="Times New Roman" w:cs="Times New Roman"/>
          <w:sz w:val="24"/>
        </w:rPr>
        <w:t xml:space="preserve">, E. A., Wadhwa, P. D., &amp; Buss, C. (2016). Correspondence between hair cortisol concentrations and 30-day integrated daily salivary and weekly urinary cortisol measures. </w:t>
      </w:r>
      <w:proofErr w:type="spellStart"/>
      <w:r w:rsidRPr="00D26C23">
        <w:rPr>
          <w:rFonts w:ascii="Times New Roman" w:hAnsi="Times New Roman" w:cs="Times New Roman"/>
          <w:i/>
          <w:iCs/>
          <w:sz w:val="24"/>
        </w:rPr>
        <w:t>Psychoneuroendocrinology</w:t>
      </w:r>
      <w:proofErr w:type="spellEnd"/>
      <w:r w:rsidRPr="00D26C23">
        <w:rPr>
          <w:rFonts w:ascii="Times New Roman" w:hAnsi="Times New Roman" w:cs="Times New Roman"/>
          <w:sz w:val="24"/>
        </w:rPr>
        <w:t xml:space="preserve">, </w:t>
      </w:r>
      <w:r w:rsidRPr="00D26C23">
        <w:rPr>
          <w:rFonts w:ascii="Times New Roman" w:hAnsi="Times New Roman" w:cs="Times New Roman"/>
          <w:i/>
          <w:iCs/>
          <w:sz w:val="24"/>
        </w:rPr>
        <w:t>71</w:t>
      </w:r>
      <w:r w:rsidRPr="00D26C23">
        <w:rPr>
          <w:rFonts w:ascii="Times New Roman" w:hAnsi="Times New Roman" w:cs="Times New Roman"/>
          <w:sz w:val="24"/>
        </w:rPr>
        <w:t>, 12–18. https://doi.org/10.1016/j.psyneuen.2016.05.007</w:t>
      </w:r>
    </w:p>
    <w:p w14:paraId="4B7A619F"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Tworoger</w:t>
      </w:r>
      <w:proofErr w:type="spellEnd"/>
      <w:r w:rsidRPr="00D26C23">
        <w:rPr>
          <w:rFonts w:ascii="Times New Roman" w:hAnsi="Times New Roman" w:cs="Times New Roman"/>
          <w:sz w:val="24"/>
        </w:rPr>
        <w:t xml:space="preserve">, S. S., &amp; Hankinson, S. E. (2006). Use of biomarkers in epidemiologic studies: Minimizing the influence of measurement error in the study design and analysis. </w:t>
      </w:r>
      <w:r w:rsidRPr="00D26C23">
        <w:rPr>
          <w:rFonts w:ascii="Times New Roman" w:hAnsi="Times New Roman" w:cs="Times New Roman"/>
          <w:i/>
          <w:iCs/>
          <w:sz w:val="24"/>
        </w:rPr>
        <w:t>Cancer Causes &amp; Control</w:t>
      </w:r>
      <w:r w:rsidRPr="00D26C23">
        <w:rPr>
          <w:rFonts w:ascii="Times New Roman" w:hAnsi="Times New Roman" w:cs="Times New Roman"/>
          <w:sz w:val="24"/>
        </w:rPr>
        <w:t xml:space="preserve">, </w:t>
      </w:r>
      <w:r w:rsidRPr="00D26C23">
        <w:rPr>
          <w:rFonts w:ascii="Times New Roman" w:hAnsi="Times New Roman" w:cs="Times New Roman"/>
          <w:i/>
          <w:iCs/>
          <w:sz w:val="24"/>
        </w:rPr>
        <w:t>17</w:t>
      </w:r>
      <w:r w:rsidRPr="00D26C23">
        <w:rPr>
          <w:rFonts w:ascii="Times New Roman" w:hAnsi="Times New Roman" w:cs="Times New Roman"/>
          <w:sz w:val="24"/>
        </w:rPr>
        <w:t>(7), 889–899. https://doi.org/10.1007/s10552-006-0035-5</w:t>
      </w:r>
    </w:p>
    <w:p w14:paraId="30FFF120"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lastRenderedPageBreak/>
        <w:t xml:space="preserve">Wang, W., Moody, S. N., </w:t>
      </w:r>
      <w:proofErr w:type="spellStart"/>
      <w:r w:rsidRPr="00D26C23">
        <w:rPr>
          <w:rFonts w:ascii="Times New Roman" w:hAnsi="Times New Roman" w:cs="Times New Roman"/>
          <w:sz w:val="24"/>
        </w:rPr>
        <w:t>Kiesner</w:t>
      </w:r>
      <w:proofErr w:type="spellEnd"/>
      <w:r w:rsidRPr="00D26C23">
        <w:rPr>
          <w:rFonts w:ascii="Times New Roman" w:hAnsi="Times New Roman" w:cs="Times New Roman"/>
          <w:sz w:val="24"/>
        </w:rPr>
        <w:t xml:space="preserve">, J., </w:t>
      </w:r>
      <w:proofErr w:type="spellStart"/>
      <w:r w:rsidRPr="00D26C23">
        <w:rPr>
          <w:rFonts w:ascii="Times New Roman" w:hAnsi="Times New Roman" w:cs="Times New Roman"/>
          <w:sz w:val="24"/>
        </w:rPr>
        <w:t>Tonon</w:t>
      </w:r>
      <w:proofErr w:type="spellEnd"/>
      <w:r w:rsidRPr="00D26C23">
        <w:rPr>
          <w:rFonts w:ascii="Times New Roman" w:hAnsi="Times New Roman" w:cs="Times New Roman"/>
          <w:sz w:val="24"/>
        </w:rPr>
        <w:t xml:space="preserve"> </w:t>
      </w:r>
      <w:proofErr w:type="spellStart"/>
      <w:r w:rsidRPr="00D26C23">
        <w:rPr>
          <w:rFonts w:ascii="Times New Roman" w:hAnsi="Times New Roman" w:cs="Times New Roman"/>
          <w:sz w:val="24"/>
        </w:rPr>
        <w:t>Appiani</w:t>
      </w:r>
      <w:proofErr w:type="spellEnd"/>
      <w:r w:rsidRPr="00D26C23">
        <w:rPr>
          <w:rFonts w:ascii="Times New Roman" w:hAnsi="Times New Roman" w:cs="Times New Roman"/>
          <w:sz w:val="24"/>
        </w:rPr>
        <w:t xml:space="preserve">, A., Robertson, O. C., &amp; </w:t>
      </w:r>
      <w:proofErr w:type="spellStart"/>
      <w:r w:rsidRPr="00D26C23">
        <w:rPr>
          <w:rFonts w:ascii="Times New Roman" w:hAnsi="Times New Roman" w:cs="Times New Roman"/>
          <w:sz w:val="24"/>
        </w:rPr>
        <w:t>Shirtcliff</w:t>
      </w:r>
      <w:proofErr w:type="spellEnd"/>
      <w:r w:rsidRPr="00D26C23">
        <w:rPr>
          <w:rFonts w:ascii="Times New Roman" w:hAnsi="Times New Roman" w:cs="Times New Roman"/>
          <w:sz w:val="24"/>
        </w:rPr>
        <w:t xml:space="preserve">, E. A. (2019). Assay validation of hair androgens across the menstrual cycle. </w:t>
      </w:r>
      <w:proofErr w:type="spellStart"/>
      <w:r w:rsidRPr="00D26C23">
        <w:rPr>
          <w:rFonts w:ascii="Times New Roman" w:hAnsi="Times New Roman" w:cs="Times New Roman"/>
          <w:i/>
          <w:iCs/>
          <w:sz w:val="24"/>
        </w:rPr>
        <w:t>Psychoneuroendocrinology</w:t>
      </w:r>
      <w:proofErr w:type="spellEnd"/>
      <w:r w:rsidRPr="00D26C23">
        <w:rPr>
          <w:rFonts w:ascii="Times New Roman" w:hAnsi="Times New Roman" w:cs="Times New Roman"/>
          <w:sz w:val="24"/>
        </w:rPr>
        <w:t xml:space="preserve">, </w:t>
      </w:r>
      <w:r w:rsidRPr="00D26C23">
        <w:rPr>
          <w:rFonts w:ascii="Times New Roman" w:hAnsi="Times New Roman" w:cs="Times New Roman"/>
          <w:i/>
          <w:iCs/>
          <w:sz w:val="24"/>
        </w:rPr>
        <w:t>101</w:t>
      </w:r>
      <w:r w:rsidRPr="00D26C23">
        <w:rPr>
          <w:rFonts w:ascii="Times New Roman" w:hAnsi="Times New Roman" w:cs="Times New Roman"/>
          <w:sz w:val="24"/>
        </w:rPr>
        <w:t>, 175–181. https://doi.org/10.1016/j.psyneuen.2018.10.029</w:t>
      </w:r>
    </w:p>
    <w:p w14:paraId="65D2135E" w14:textId="77777777" w:rsidR="00D26C23" w:rsidRPr="00D26C23" w:rsidRDefault="00D26C23" w:rsidP="00D26C23">
      <w:pPr>
        <w:pStyle w:val="Bibliography"/>
        <w:rPr>
          <w:rFonts w:ascii="Times New Roman" w:hAnsi="Times New Roman" w:cs="Times New Roman"/>
          <w:sz w:val="24"/>
        </w:rPr>
      </w:pPr>
      <w:r w:rsidRPr="00D26C23">
        <w:rPr>
          <w:rFonts w:ascii="Times New Roman" w:hAnsi="Times New Roman" w:cs="Times New Roman"/>
          <w:sz w:val="24"/>
        </w:rPr>
        <w:t xml:space="preserve">Wang, W., Moody, S. N., &amp; </w:t>
      </w:r>
      <w:proofErr w:type="spellStart"/>
      <w:r w:rsidRPr="00D26C23">
        <w:rPr>
          <w:rFonts w:ascii="Times New Roman" w:hAnsi="Times New Roman" w:cs="Times New Roman"/>
          <w:sz w:val="24"/>
        </w:rPr>
        <w:t>Shirtcliff</w:t>
      </w:r>
      <w:proofErr w:type="spellEnd"/>
      <w:r w:rsidRPr="00D26C23">
        <w:rPr>
          <w:rFonts w:ascii="Times New Roman" w:hAnsi="Times New Roman" w:cs="Times New Roman"/>
          <w:sz w:val="24"/>
        </w:rPr>
        <w:t xml:space="preserve">, E. A. (2016). Noninvasive hair assay for sex hormones: Preliminary protocol validation. </w:t>
      </w:r>
      <w:proofErr w:type="spellStart"/>
      <w:r w:rsidRPr="00D26C23">
        <w:rPr>
          <w:rFonts w:ascii="Times New Roman" w:hAnsi="Times New Roman" w:cs="Times New Roman"/>
          <w:i/>
          <w:iCs/>
          <w:sz w:val="24"/>
        </w:rPr>
        <w:t>Psychoneuroendocrinology</w:t>
      </w:r>
      <w:proofErr w:type="spellEnd"/>
      <w:r w:rsidRPr="00D26C23">
        <w:rPr>
          <w:rFonts w:ascii="Times New Roman" w:hAnsi="Times New Roman" w:cs="Times New Roman"/>
          <w:sz w:val="24"/>
        </w:rPr>
        <w:t xml:space="preserve">, </w:t>
      </w:r>
      <w:r w:rsidRPr="00D26C23">
        <w:rPr>
          <w:rFonts w:ascii="Times New Roman" w:hAnsi="Times New Roman" w:cs="Times New Roman"/>
          <w:i/>
          <w:iCs/>
          <w:sz w:val="24"/>
        </w:rPr>
        <w:t>71</w:t>
      </w:r>
      <w:r w:rsidRPr="00D26C23">
        <w:rPr>
          <w:rFonts w:ascii="Times New Roman" w:hAnsi="Times New Roman" w:cs="Times New Roman"/>
          <w:sz w:val="24"/>
        </w:rPr>
        <w:t>, 45. https://doi.org/10.1016/j.psyneuen.2016.07.119</w:t>
      </w:r>
    </w:p>
    <w:p w14:paraId="473DE693" w14:textId="77777777" w:rsidR="00D26C23" w:rsidRPr="00D26C23" w:rsidRDefault="00D26C23" w:rsidP="00D26C23">
      <w:pPr>
        <w:pStyle w:val="Bibliography"/>
        <w:rPr>
          <w:rFonts w:ascii="Times New Roman" w:hAnsi="Times New Roman" w:cs="Times New Roman"/>
          <w:sz w:val="24"/>
        </w:rPr>
      </w:pPr>
      <w:proofErr w:type="spellStart"/>
      <w:r w:rsidRPr="00D26C23">
        <w:rPr>
          <w:rFonts w:ascii="Times New Roman" w:hAnsi="Times New Roman" w:cs="Times New Roman"/>
          <w:sz w:val="24"/>
        </w:rPr>
        <w:t>Wennig</w:t>
      </w:r>
      <w:proofErr w:type="spellEnd"/>
      <w:r w:rsidRPr="00D26C23">
        <w:rPr>
          <w:rFonts w:ascii="Times New Roman" w:hAnsi="Times New Roman" w:cs="Times New Roman"/>
          <w:sz w:val="24"/>
        </w:rPr>
        <w:t xml:space="preserve">, R. (2000). Potential problems with the interpretation of hair analysis results. </w:t>
      </w:r>
      <w:r w:rsidRPr="00D26C23">
        <w:rPr>
          <w:rFonts w:ascii="Times New Roman" w:hAnsi="Times New Roman" w:cs="Times New Roman"/>
          <w:i/>
          <w:iCs/>
          <w:sz w:val="24"/>
        </w:rPr>
        <w:t>Forensic Science International</w:t>
      </w:r>
      <w:r w:rsidRPr="00D26C23">
        <w:rPr>
          <w:rFonts w:ascii="Times New Roman" w:hAnsi="Times New Roman" w:cs="Times New Roman"/>
          <w:sz w:val="24"/>
        </w:rPr>
        <w:t xml:space="preserve">, </w:t>
      </w:r>
      <w:r w:rsidRPr="00D26C23">
        <w:rPr>
          <w:rFonts w:ascii="Times New Roman" w:hAnsi="Times New Roman" w:cs="Times New Roman"/>
          <w:i/>
          <w:iCs/>
          <w:sz w:val="24"/>
        </w:rPr>
        <w:t>107</w:t>
      </w:r>
      <w:r w:rsidRPr="00D26C23">
        <w:rPr>
          <w:rFonts w:ascii="Times New Roman" w:hAnsi="Times New Roman" w:cs="Times New Roman"/>
          <w:sz w:val="24"/>
        </w:rPr>
        <w:t>(1–3), 5–12. https://doi.org/10.1016/S0379-0738(99)00146-2</w:t>
      </w:r>
    </w:p>
    <w:p w14:paraId="553FC3E3" w14:textId="46E040B8" w:rsidR="004B7EB3" w:rsidRPr="00AF2461" w:rsidRDefault="004B7EB3" w:rsidP="004B7EB3">
      <w:pPr>
        <w:spacing w:after="0" w:line="240" w:lineRule="auto"/>
        <w:jc w:val="center"/>
        <w:rPr>
          <w:rFonts w:ascii="Times New Roman" w:hAnsi="Times New Roman" w:cs="Times New Roman"/>
          <w:b/>
          <w:sz w:val="24"/>
          <w:szCs w:val="24"/>
        </w:rPr>
      </w:pPr>
      <w:r w:rsidRPr="00FF7CC5">
        <w:rPr>
          <w:rFonts w:ascii="Times New Roman" w:hAnsi="Times New Roman" w:cs="Times New Roman"/>
          <w:b/>
          <w:sz w:val="24"/>
          <w:szCs w:val="24"/>
        </w:rPr>
        <w:fldChar w:fldCharType="end"/>
      </w:r>
    </w:p>
    <w:sectPr w:rsidR="004B7EB3" w:rsidRPr="00AF2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A0EF" w14:textId="77777777" w:rsidR="00FF507A" w:rsidRDefault="00FF507A">
      <w:pPr>
        <w:spacing w:after="0" w:line="240" w:lineRule="auto"/>
      </w:pPr>
      <w:r>
        <w:separator/>
      </w:r>
    </w:p>
  </w:endnote>
  <w:endnote w:type="continuationSeparator" w:id="0">
    <w:p w14:paraId="668A9287" w14:textId="77777777" w:rsidR="00FF507A" w:rsidRDefault="00FF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43A6" w14:textId="77777777" w:rsidR="00FF507A" w:rsidRDefault="00FF507A">
      <w:pPr>
        <w:spacing w:after="0" w:line="240" w:lineRule="auto"/>
      </w:pPr>
      <w:r>
        <w:separator/>
      </w:r>
    </w:p>
  </w:footnote>
  <w:footnote w:type="continuationSeparator" w:id="0">
    <w:p w14:paraId="69765848" w14:textId="77777777" w:rsidR="00FF507A" w:rsidRDefault="00FF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A216" w14:textId="77777777" w:rsidR="00846AA0" w:rsidRPr="00272252" w:rsidRDefault="006F4E3F">
    <w:pPr>
      <w:pStyle w:val="Header"/>
      <w:jc w:val="right"/>
      <w:rPr>
        <w:rFonts w:ascii="Times New Roman" w:hAnsi="Times New Roman" w:cs="Times New Roman"/>
        <w:sz w:val="24"/>
        <w:szCs w:val="24"/>
      </w:rPr>
    </w:pPr>
    <w:r w:rsidRPr="00272252">
      <w:rPr>
        <w:rFonts w:ascii="Times New Roman" w:hAnsi="Times New Roman" w:cs="Times New Roman"/>
        <w:sz w:val="24"/>
        <w:szCs w:val="24"/>
      </w:rPr>
      <w:t>CORTISOL AND AFFECT</w:t>
    </w:r>
    <w:r>
      <w:rPr>
        <w:rFonts w:ascii="Times New Roman" w:hAnsi="Times New Roman" w:cs="Times New Roman"/>
        <w:sz w:val="24"/>
        <w:szCs w:val="24"/>
      </w:rPr>
      <w:t xml:space="preserve"> DURING</w:t>
    </w:r>
    <w:r w:rsidRPr="00272252">
      <w:rPr>
        <w:rFonts w:ascii="Times New Roman" w:hAnsi="Times New Roman" w:cs="Times New Roman"/>
        <w:sz w:val="24"/>
        <w:szCs w:val="24"/>
      </w:rPr>
      <w:t xml:space="preserve"> COVID-19</w:t>
    </w:r>
    <w:r w:rsidRPr="00272252">
      <w:rPr>
        <w:rFonts w:ascii="Times New Roman" w:hAnsi="Times New Roman" w:cs="Times New Roman"/>
        <w:sz w:val="24"/>
        <w:szCs w:val="24"/>
      </w:rPr>
      <w:tab/>
    </w:r>
    <w:sdt>
      <w:sdtPr>
        <w:rPr>
          <w:rFonts w:ascii="Times New Roman" w:hAnsi="Times New Roman" w:cs="Times New Roman"/>
          <w:sz w:val="24"/>
          <w:szCs w:val="24"/>
        </w:rPr>
        <w:id w:val="-1623906732"/>
        <w:docPartObj>
          <w:docPartGallery w:val="Page Numbers (Top of Page)"/>
          <w:docPartUnique/>
        </w:docPartObj>
      </w:sdtPr>
      <w:sdtEndPr>
        <w:rPr>
          <w:noProof/>
        </w:rPr>
      </w:sdtEndPr>
      <w:sdtContent>
        <w:r w:rsidRPr="00272252">
          <w:rPr>
            <w:rFonts w:ascii="Times New Roman" w:hAnsi="Times New Roman" w:cs="Times New Roman"/>
            <w:sz w:val="24"/>
            <w:szCs w:val="24"/>
          </w:rPr>
          <w:fldChar w:fldCharType="begin"/>
        </w:r>
        <w:r w:rsidRPr="00272252">
          <w:rPr>
            <w:rFonts w:ascii="Times New Roman" w:hAnsi="Times New Roman" w:cs="Times New Roman"/>
            <w:sz w:val="24"/>
            <w:szCs w:val="24"/>
          </w:rPr>
          <w:instrText xml:space="preserve"> PAGE   \* MERGEFORMAT </w:instrText>
        </w:r>
        <w:r w:rsidRPr="00272252">
          <w:rPr>
            <w:rFonts w:ascii="Times New Roman" w:hAnsi="Times New Roman" w:cs="Times New Roman"/>
            <w:sz w:val="24"/>
            <w:szCs w:val="24"/>
          </w:rPr>
          <w:fldChar w:fldCharType="separate"/>
        </w:r>
        <w:r>
          <w:rPr>
            <w:rFonts w:ascii="Times New Roman" w:hAnsi="Times New Roman" w:cs="Times New Roman"/>
            <w:noProof/>
            <w:sz w:val="24"/>
            <w:szCs w:val="24"/>
          </w:rPr>
          <w:t>4</w:t>
        </w:r>
        <w:r w:rsidRPr="00272252">
          <w:rPr>
            <w:rFonts w:ascii="Times New Roman" w:hAnsi="Times New Roman" w:cs="Times New Roman"/>
            <w:noProof/>
            <w:sz w:val="24"/>
            <w:szCs w:val="24"/>
          </w:rPr>
          <w:fldChar w:fldCharType="end"/>
        </w:r>
      </w:sdtContent>
    </w:sdt>
  </w:p>
  <w:p w14:paraId="4A8EE3CF" w14:textId="77777777" w:rsidR="00846AA0" w:rsidRPr="00272252" w:rsidRDefault="00FF507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B6"/>
    <w:rsid w:val="00014071"/>
    <w:rsid w:val="000E47D7"/>
    <w:rsid w:val="000E77A8"/>
    <w:rsid w:val="00115A84"/>
    <w:rsid w:val="001A39E5"/>
    <w:rsid w:val="001C7040"/>
    <w:rsid w:val="002920E6"/>
    <w:rsid w:val="004B7EB3"/>
    <w:rsid w:val="00506DFF"/>
    <w:rsid w:val="0053677F"/>
    <w:rsid w:val="005418EC"/>
    <w:rsid w:val="00564124"/>
    <w:rsid w:val="005F4917"/>
    <w:rsid w:val="006F4E3F"/>
    <w:rsid w:val="00706F70"/>
    <w:rsid w:val="007F734B"/>
    <w:rsid w:val="00806B69"/>
    <w:rsid w:val="008119AC"/>
    <w:rsid w:val="008674D9"/>
    <w:rsid w:val="00874947"/>
    <w:rsid w:val="00883BDD"/>
    <w:rsid w:val="00922857"/>
    <w:rsid w:val="009275FA"/>
    <w:rsid w:val="00955BFB"/>
    <w:rsid w:val="00964932"/>
    <w:rsid w:val="009B571A"/>
    <w:rsid w:val="00A4077B"/>
    <w:rsid w:val="00A44901"/>
    <w:rsid w:val="00A47A3A"/>
    <w:rsid w:val="00A50992"/>
    <w:rsid w:val="00AB1C7A"/>
    <w:rsid w:val="00AD0BB6"/>
    <w:rsid w:val="00AD5405"/>
    <w:rsid w:val="00AE35AB"/>
    <w:rsid w:val="00AF2461"/>
    <w:rsid w:val="00B0094A"/>
    <w:rsid w:val="00B46408"/>
    <w:rsid w:val="00B6446D"/>
    <w:rsid w:val="00BF04C5"/>
    <w:rsid w:val="00BF25BC"/>
    <w:rsid w:val="00C474A1"/>
    <w:rsid w:val="00C50931"/>
    <w:rsid w:val="00CB5217"/>
    <w:rsid w:val="00CE3A57"/>
    <w:rsid w:val="00D26C23"/>
    <w:rsid w:val="00DF70A8"/>
    <w:rsid w:val="00EC668B"/>
    <w:rsid w:val="00F57E80"/>
    <w:rsid w:val="00FA584F"/>
    <w:rsid w:val="00FE0A3F"/>
    <w:rsid w:val="00FE5BD4"/>
    <w:rsid w:val="00FF507A"/>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3A97"/>
  <w15:chartTrackingRefBased/>
  <w15:docId w15:val="{5F8EEEFF-A1A2-400E-A498-17A7F723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B6"/>
  </w:style>
  <w:style w:type="character" w:styleId="CommentReference">
    <w:name w:val="annotation reference"/>
    <w:basedOn w:val="DefaultParagraphFont"/>
    <w:uiPriority w:val="99"/>
    <w:semiHidden/>
    <w:unhideWhenUsed/>
    <w:rsid w:val="00AD0BB6"/>
    <w:rPr>
      <w:sz w:val="16"/>
      <w:szCs w:val="16"/>
    </w:rPr>
  </w:style>
  <w:style w:type="paragraph" w:styleId="CommentText">
    <w:name w:val="annotation text"/>
    <w:basedOn w:val="Normal"/>
    <w:link w:val="CommentTextChar"/>
    <w:uiPriority w:val="99"/>
    <w:unhideWhenUsed/>
    <w:rsid w:val="00AD0BB6"/>
    <w:pPr>
      <w:spacing w:line="240" w:lineRule="auto"/>
    </w:pPr>
    <w:rPr>
      <w:sz w:val="20"/>
      <w:szCs w:val="20"/>
    </w:rPr>
  </w:style>
  <w:style w:type="character" w:customStyle="1" w:styleId="CommentTextChar">
    <w:name w:val="Comment Text Char"/>
    <w:basedOn w:val="DefaultParagraphFont"/>
    <w:link w:val="CommentText"/>
    <w:uiPriority w:val="99"/>
    <w:rsid w:val="00AD0BB6"/>
    <w:rPr>
      <w:sz w:val="20"/>
      <w:szCs w:val="20"/>
    </w:rPr>
  </w:style>
  <w:style w:type="table" w:styleId="TableGrid">
    <w:name w:val="Table Grid"/>
    <w:basedOn w:val="TableNormal"/>
    <w:uiPriority w:val="39"/>
    <w:rsid w:val="00AD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B6"/>
    <w:rPr>
      <w:rFonts w:ascii="Segoe UI" w:hAnsi="Segoe UI" w:cs="Segoe UI"/>
      <w:sz w:val="18"/>
      <w:szCs w:val="18"/>
    </w:rPr>
  </w:style>
  <w:style w:type="paragraph" w:styleId="Bibliography">
    <w:name w:val="Bibliography"/>
    <w:basedOn w:val="Normal"/>
    <w:next w:val="Normal"/>
    <w:uiPriority w:val="37"/>
    <w:unhideWhenUsed/>
    <w:rsid w:val="004B7EB3"/>
    <w:pPr>
      <w:spacing w:after="0" w:line="480" w:lineRule="auto"/>
      <w:ind w:left="720" w:hanging="720"/>
    </w:pPr>
  </w:style>
  <w:style w:type="paragraph" w:styleId="CommentSubject">
    <w:name w:val="annotation subject"/>
    <w:basedOn w:val="CommentText"/>
    <w:next w:val="CommentText"/>
    <w:link w:val="CommentSubjectChar"/>
    <w:uiPriority w:val="99"/>
    <w:semiHidden/>
    <w:unhideWhenUsed/>
    <w:rsid w:val="00FE0A3F"/>
    <w:rPr>
      <w:b/>
      <w:bCs/>
    </w:rPr>
  </w:style>
  <w:style w:type="character" w:customStyle="1" w:styleId="CommentSubjectChar">
    <w:name w:val="Comment Subject Char"/>
    <w:basedOn w:val="CommentTextChar"/>
    <w:link w:val="CommentSubject"/>
    <w:uiPriority w:val="99"/>
    <w:semiHidden/>
    <w:rsid w:val="00FE0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11820</Words>
  <Characters>67379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Boystown</Company>
  <LinksUpToDate>false</LinksUpToDate>
  <CharactersWithSpaces>79041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Brittany K.</dc:creator>
  <cp:keywords/>
  <dc:description/>
  <cp:lastModifiedBy>Taylor, Brittany K.</cp:lastModifiedBy>
  <cp:revision>3</cp:revision>
  <dcterms:created xsi:type="dcterms:W3CDTF">2022-07-11T15:28:00Z</dcterms:created>
  <dcterms:modified xsi:type="dcterms:W3CDTF">2022-07-11T15:28:00Z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id="BsSjPg6h"/&gt;&lt;style id="http://www.zotero.org/styles/apa" locale="en-US" hasBibliography="1" bibliographyStyleHasBeenSet="1"/&gt;&lt;prefs&gt;&lt;pref name="fieldType" value="Field"/&gt;&lt;/prefs&gt;&lt;/data&gt;</vt:lpwstr>
  </property>
</Properties>
</file>