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B075" w14:textId="3AB86646" w:rsidR="00981C48" w:rsidRPr="00AD63BD" w:rsidRDefault="00981C48" w:rsidP="00981C48">
      <w:pPr>
        <w:spacing w:line="480" w:lineRule="auto"/>
        <w:rPr>
          <w:rFonts w:ascii="Times New Roman" w:hAnsi="Times New Roman" w:cs="Times New Roman"/>
          <w:b/>
          <w:sz w:val="24"/>
          <w:szCs w:val="24"/>
        </w:rPr>
      </w:pPr>
      <w:r w:rsidRPr="00AD63BD">
        <w:rPr>
          <w:rFonts w:ascii="Times New Roman" w:hAnsi="Times New Roman" w:cs="Times New Roman"/>
          <w:b/>
          <w:sz w:val="24"/>
          <w:szCs w:val="24"/>
        </w:rPr>
        <w:t>Supplementary Materials</w:t>
      </w:r>
      <w:r w:rsidR="00561F95" w:rsidRPr="00AD63BD">
        <w:rPr>
          <w:rFonts w:ascii="Times New Roman" w:hAnsi="Times New Roman" w:cs="Times New Roman"/>
          <w:b/>
          <w:sz w:val="24"/>
          <w:szCs w:val="24"/>
        </w:rPr>
        <w:t xml:space="preserve"> for ‘Modulation of amygdala response by cognitive conflict in adolescents with conduct problems</w:t>
      </w:r>
      <w:r w:rsidR="00F65EDE" w:rsidRPr="00AD63BD">
        <w:rPr>
          <w:rFonts w:ascii="Times New Roman" w:hAnsi="Times New Roman" w:cs="Times New Roman"/>
          <w:b/>
          <w:sz w:val="24"/>
          <w:szCs w:val="24"/>
        </w:rPr>
        <w:t xml:space="preserve"> and varying levels of callous-unemotional</w:t>
      </w:r>
      <w:r w:rsidR="00561F95" w:rsidRPr="00AD63BD">
        <w:rPr>
          <w:rFonts w:ascii="Times New Roman" w:hAnsi="Times New Roman" w:cs="Times New Roman"/>
          <w:b/>
          <w:sz w:val="24"/>
          <w:szCs w:val="24"/>
        </w:rPr>
        <w:t xml:space="preserve"> traits’</w:t>
      </w:r>
    </w:p>
    <w:p w14:paraId="260230E4" w14:textId="62BE2C50" w:rsidR="00EC6C38" w:rsidRPr="00AD63BD" w:rsidRDefault="00C92417" w:rsidP="00437D71">
      <w:pPr>
        <w:spacing w:before="100" w:beforeAutospacing="1" w:after="100" w:afterAutospacing="1" w:line="480" w:lineRule="auto"/>
        <w:rPr>
          <w:rStyle w:val="Emphasis"/>
          <w:rFonts w:ascii="Times New Roman" w:hAnsi="Times New Roman" w:cs="Times New Roman"/>
          <w:b/>
          <w:i w:val="0"/>
          <w:iCs w:val="0"/>
          <w:sz w:val="24"/>
          <w:szCs w:val="24"/>
        </w:rPr>
      </w:pPr>
      <w:r>
        <w:rPr>
          <w:rFonts w:ascii="Times New Roman" w:hAnsi="Times New Roman" w:cs="Times New Roman"/>
          <w:b/>
          <w:sz w:val="24"/>
          <w:szCs w:val="24"/>
        </w:rPr>
        <w:t xml:space="preserve">Supplementary </w:t>
      </w:r>
      <w:bookmarkStart w:id="0" w:name="_GoBack"/>
      <w:bookmarkEnd w:id="0"/>
      <w:r w:rsidR="00EC6C38" w:rsidRPr="00AD63BD">
        <w:rPr>
          <w:rFonts w:ascii="Times New Roman" w:hAnsi="Times New Roman" w:cs="Times New Roman"/>
          <w:b/>
          <w:sz w:val="24"/>
          <w:szCs w:val="24"/>
        </w:rPr>
        <w:t>Results</w:t>
      </w:r>
    </w:p>
    <w:p w14:paraId="1E53172C" w14:textId="77777777" w:rsidR="00981C48" w:rsidRPr="00AD63BD" w:rsidRDefault="00981C48" w:rsidP="00981C48">
      <w:pPr>
        <w:spacing w:line="480" w:lineRule="auto"/>
        <w:rPr>
          <w:rStyle w:val="Emphasis"/>
          <w:rFonts w:ascii="Times New Roman" w:hAnsi="Times New Roman" w:cs="Times New Roman"/>
          <w:b/>
          <w:color w:val="2A2A2A"/>
          <w:sz w:val="24"/>
          <w:szCs w:val="24"/>
          <w:bdr w:val="none" w:sz="0" w:space="0" w:color="auto" w:frame="1"/>
          <w:shd w:val="clear" w:color="auto" w:fill="FFFFFF"/>
        </w:rPr>
      </w:pPr>
      <w:r w:rsidRPr="00AD63BD">
        <w:rPr>
          <w:rStyle w:val="Emphasis"/>
          <w:rFonts w:ascii="Times New Roman" w:hAnsi="Times New Roman" w:cs="Times New Roman"/>
          <w:b/>
          <w:color w:val="2A2A2A"/>
          <w:sz w:val="24"/>
          <w:szCs w:val="24"/>
          <w:bdr w:val="none" w:sz="0" w:space="0" w:color="auto" w:frame="1"/>
          <w:shd w:val="clear" w:color="auto" w:fill="FFFFFF"/>
        </w:rPr>
        <w:t>Psychophysiological interactions (PPIs)</w:t>
      </w:r>
    </w:p>
    <w:p w14:paraId="74ACA748" w14:textId="77777777" w:rsidR="00981C48" w:rsidRPr="00AD63BD" w:rsidRDefault="00981C48" w:rsidP="00981C48">
      <w:pPr>
        <w:spacing w:line="480" w:lineRule="auto"/>
        <w:rPr>
          <w:rStyle w:val="Emphasis"/>
          <w:rFonts w:ascii="Times New Roman" w:hAnsi="Times New Roman" w:cs="Times New Roman"/>
          <w:i w:val="0"/>
          <w:color w:val="2A2A2A"/>
          <w:sz w:val="24"/>
          <w:szCs w:val="24"/>
          <w:bdr w:val="none" w:sz="0" w:space="0" w:color="auto" w:frame="1"/>
          <w:shd w:val="clear" w:color="auto" w:fill="FFFFFF"/>
        </w:rPr>
      </w:pPr>
      <w:r w:rsidRPr="00AD63BD">
        <w:rPr>
          <w:rStyle w:val="Emphasis"/>
          <w:rFonts w:ascii="Times New Roman" w:hAnsi="Times New Roman" w:cs="Times New Roman"/>
          <w:i w:val="0"/>
          <w:color w:val="2A2A2A"/>
          <w:sz w:val="24"/>
          <w:szCs w:val="24"/>
          <w:bdr w:val="none" w:sz="0" w:space="0" w:color="auto" w:frame="1"/>
          <w:shd w:val="clear" w:color="auto" w:fill="FFFFFF"/>
        </w:rPr>
        <w:t xml:space="preserve">We conducted PPI analyses to understand the connectivity profile of the amygdala during the task: </w:t>
      </w:r>
      <w:proofErr w:type="gramStart"/>
      <w:r w:rsidRPr="00AD63BD">
        <w:rPr>
          <w:rStyle w:val="Emphasis"/>
          <w:rFonts w:ascii="Times New Roman" w:hAnsi="Times New Roman" w:cs="Times New Roman"/>
          <w:i w:val="0"/>
          <w:color w:val="2A2A2A"/>
          <w:sz w:val="24"/>
          <w:szCs w:val="24"/>
          <w:bdr w:val="none" w:sz="0" w:space="0" w:color="auto" w:frame="1"/>
          <w:shd w:val="clear" w:color="auto" w:fill="FFFFFF"/>
        </w:rPr>
        <w:t>in particular, whether</w:t>
      </w:r>
      <w:proofErr w:type="gramEnd"/>
      <w:r w:rsidRPr="00AD63BD">
        <w:rPr>
          <w:rStyle w:val="Emphasis"/>
          <w:rFonts w:ascii="Times New Roman" w:hAnsi="Times New Roman" w:cs="Times New Roman"/>
          <w:i w:val="0"/>
          <w:color w:val="2A2A2A"/>
          <w:sz w:val="24"/>
          <w:szCs w:val="24"/>
          <w:bdr w:val="none" w:sz="0" w:space="0" w:color="auto" w:frame="1"/>
          <w:shd w:val="clear" w:color="auto" w:fill="FFFFFF"/>
        </w:rPr>
        <w:t xml:space="preserve"> differential connectivity with prefrontal cortex may explain group differences in amygdala response between CP/LCU and TD controls. We conducted two separate PPI analyses using peak coordinates from second level group comparisons in the left and right amygdala, respectively. </w:t>
      </w:r>
    </w:p>
    <w:p w14:paraId="1E9A6D1E" w14:textId="48FC9AC6" w:rsidR="00981C48" w:rsidRPr="00AD63BD" w:rsidRDefault="00981C48" w:rsidP="00981C48">
      <w:pPr>
        <w:spacing w:line="480" w:lineRule="auto"/>
        <w:rPr>
          <w:rFonts w:ascii="Times New Roman" w:hAnsi="Times New Roman" w:cs="Times New Roman"/>
          <w:i/>
          <w:iCs/>
          <w:color w:val="2A2A2A"/>
          <w:sz w:val="24"/>
          <w:szCs w:val="24"/>
          <w:bdr w:val="none" w:sz="0" w:space="0" w:color="auto" w:frame="1"/>
          <w:shd w:val="clear" w:color="auto" w:fill="FFFFFF"/>
        </w:rPr>
      </w:pPr>
      <w:r w:rsidRPr="00AD63BD">
        <w:rPr>
          <w:rStyle w:val="Emphasis"/>
          <w:rFonts w:ascii="Times New Roman" w:hAnsi="Times New Roman" w:cs="Times New Roman"/>
          <w:i w:val="0"/>
          <w:color w:val="2A2A2A"/>
          <w:sz w:val="24"/>
          <w:szCs w:val="24"/>
          <w:bdr w:val="none" w:sz="0" w:space="0" w:color="auto" w:frame="1"/>
          <w:shd w:val="clear" w:color="auto" w:fill="FFFFFF"/>
        </w:rPr>
        <w:t xml:space="preserve">For each participant, neural response across the time course was extracted from a volume of interest defined as an 8mm radius sphere around the peak amygdala co-ordinates from the above interaction for TD relative to </w:t>
      </w:r>
      <w:r w:rsidRPr="00AD63BD">
        <w:rPr>
          <w:rFonts w:ascii="Times New Roman" w:hAnsi="Times New Roman" w:cs="Times New Roman"/>
          <w:i/>
          <w:color w:val="2A2A2A"/>
          <w:sz w:val="24"/>
          <w:szCs w:val="24"/>
          <w:shd w:val="clear" w:color="auto" w:fill="FFFFFF"/>
        </w:rPr>
        <w:t>CP/</w:t>
      </w:r>
      <w:r w:rsidRPr="00AD63BD">
        <w:rPr>
          <w:rStyle w:val="Emphasis"/>
          <w:rFonts w:ascii="Times New Roman" w:hAnsi="Times New Roman" w:cs="Times New Roman"/>
          <w:i w:val="0"/>
          <w:color w:val="2A2A2A"/>
          <w:sz w:val="24"/>
          <w:szCs w:val="24"/>
          <w:bdr w:val="none" w:sz="0" w:space="0" w:color="auto" w:frame="1"/>
          <w:shd w:val="clear" w:color="auto" w:fill="FFFFFF"/>
        </w:rPr>
        <w:t xml:space="preserve">LCU: right amygdala (20 2 -22), and for TD only: left amygdala (-16 -2 -22). This activity comprised the physiological variable, while the interaction contrast comparing fear vs calm at high vs low compatibility comprised the psychological variable. The interaction between these factors (controlling for the main effects of each), shows regions in which functional coupling in the right and left amygdalae, respectively, varies across conditions. </w:t>
      </w:r>
      <w:proofErr w:type="gramStart"/>
      <w:r w:rsidRPr="00AD63BD">
        <w:rPr>
          <w:rStyle w:val="Emphasis"/>
          <w:rFonts w:ascii="Times New Roman" w:hAnsi="Times New Roman" w:cs="Times New Roman"/>
          <w:i w:val="0"/>
          <w:color w:val="2A2A2A"/>
          <w:sz w:val="24"/>
          <w:szCs w:val="24"/>
          <w:bdr w:val="none" w:sz="0" w:space="0" w:color="auto" w:frame="1"/>
          <w:shd w:val="clear" w:color="auto" w:fill="FFFFFF"/>
        </w:rPr>
        <w:t>In order to</w:t>
      </w:r>
      <w:proofErr w:type="gramEnd"/>
      <w:r w:rsidRPr="00AD63BD">
        <w:rPr>
          <w:rStyle w:val="Emphasis"/>
          <w:rFonts w:ascii="Times New Roman" w:hAnsi="Times New Roman" w:cs="Times New Roman"/>
          <w:i w:val="0"/>
          <w:color w:val="2A2A2A"/>
          <w:sz w:val="24"/>
          <w:szCs w:val="24"/>
          <w:bdr w:val="none" w:sz="0" w:space="0" w:color="auto" w:frame="1"/>
          <w:shd w:val="clear" w:color="auto" w:fill="FFFFFF"/>
        </w:rPr>
        <w:t xml:space="preserve"> examine functional coupling under the conditions of most theoretical interest, we masked results with an additional PPI analysis on the simple effect of ‘fear/compatible vs fear/incompatible’, using the same left and right amygdala seeds (following Sebastian et al., 2017).</w:t>
      </w:r>
      <w:r w:rsidRPr="00AD63BD">
        <w:rPr>
          <w:rFonts w:ascii="Times New Roman" w:hAnsi="Times New Roman" w:cs="Times New Roman"/>
          <w:i/>
          <w:color w:val="2A2A2A"/>
          <w:sz w:val="24"/>
          <w:szCs w:val="24"/>
          <w:shd w:val="clear" w:color="auto" w:fill="FFFFFF"/>
        </w:rPr>
        <w:t xml:space="preserve"> </w:t>
      </w:r>
      <w:r w:rsidRPr="00AD63BD">
        <w:rPr>
          <w:rFonts w:ascii="Times New Roman" w:hAnsi="Times New Roman" w:cs="Times New Roman"/>
          <w:color w:val="2A2A2A"/>
          <w:sz w:val="24"/>
          <w:szCs w:val="24"/>
          <w:shd w:val="clear" w:color="auto" w:fill="FFFFFF"/>
        </w:rPr>
        <w:t>We focused on a bilateral ROI in the middle frontal gyrus (MFG: right peak=28 50 -10; left peak=-28 50 -10), as this region showed functional coupling with the right amygdala on this interaction contrast in our previous study</w:t>
      </w:r>
      <w:r w:rsidR="00BA4D6A" w:rsidRPr="00AD63BD">
        <w:rPr>
          <w:rFonts w:ascii="Times New Roman" w:hAnsi="Times New Roman" w:cs="Times New Roman"/>
          <w:color w:val="2A2A2A"/>
          <w:sz w:val="24"/>
          <w:szCs w:val="24"/>
          <w:shd w:val="clear" w:color="auto" w:fill="FFFFFF"/>
        </w:rPr>
        <w:t xml:space="preserve"> and is implicated in emotion-cognition interactions. </w:t>
      </w:r>
      <w:r w:rsidRPr="00AD63BD">
        <w:rPr>
          <w:rStyle w:val="Emphasis"/>
          <w:rFonts w:ascii="Times New Roman" w:hAnsi="Times New Roman" w:cs="Times New Roman"/>
          <w:i w:val="0"/>
          <w:color w:val="2A2A2A"/>
          <w:sz w:val="24"/>
          <w:szCs w:val="24"/>
          <w:bdr w:val="none" w:sz="0" w:space="0" w:color="auto" w:frame="1"/>
          <w:shd w:val="clear" w:color="auto" w:fill="FFFFFF"/>
        </w:rPr>
        <w:t>We us</w:t>
      </w:r>
      <w:r w:rsidR="001E3B15" w:rsidRPr="00AD63BD">
        <w:rPr>
          <w:rStyle w:val="Emphasis"/>
          <w:rFonts w:ascii="Times New Roman" w:hAnsi="Times New Roman" w:cs="Times New Roman"/>
          <w:i w:val="0"/>
          <w:color w:val="2A2A2A"/>
          <w:sz w:val="24"/>
          <w:szCs w:val="24"/>
          <w:bdr w:val="none" w:sz="0" w:space="0" w:color="auto" w:frame="1"/>
          <w:shd w:val="clear" w:color="auto" w:fill="FFFFFF"/>
        </w:rPr>
        <w:t xml:space="preserve">ed an exploratory threshold of </w:t>
      </w:r>
      <w:r w:rsidR="001E3B15" w:rsidRPr="00AD63BD">
        <w:rPr>
          <w:rStyle w:val="Emphasis"/>
          <w:rFonts w:ascii="Times New Roman" w:hAnsi="Times New Roman" w:cs="Times New Roman"/>
          <w:color w:val="2A2A2A"/>
          <w:sz w:val="24"/>
          <w:szCs w:val="24"/>
          <w:bdr w:val="none" w:sz="0" w:space="0" w:color="auto" w:frame="1"/>
          <w:shd w:val="clear" w:color="auto" w:fill="FFFFFF"/>
        </w:rPr>
        <w:t>p</w:t>
      </w:r>
      <w:r w:rsidR="001E3B15" w:rsidRPr="00AD63BD">
        <w:rPr>
          <w:rStyle w:val="Emphasis"/>
          <w:rFonts w:ascii="Times New Roman" w:hAnsi="Times New Roman" w:cs="Times New Roman"/>
          <w:i w:val="0"/>
          <w:color w:val="2A2A2A"/>
          <w:sz w:val="24"/>
          <w:szCs w:val="24"/>
          <w:bdr w:val="none" w:sz="0" w:space="0" w:color="auto" w:frame="1"/>
          <w:shd w:val="clear" w:color="auto" w:fill="FFFFFF"/>
        </w:rPr>
        <w:t>&lt;</w:t>
      </w:r>
      <w:r w:rsidRPr="00AD63BD">
        <w:rPr>
          <w:rStyle w:val="Emphasis"/>
          <w:rFonts w:ascii="Times New Roman" w:hAnsi="Times New Roman" w:cs="Times New Roman"/>
          <w:i w:val="0"/>
          <w:color w:val="2A2A2A"/>
          <w:sz w:val="24"/>
          <w:szCs w:val="24"/>
          <w:bdr w:val="none" w:sz="0" w:space="0" w:color="auto" w:frame="1"/>
          <w:shd w:val="clear" w:color="auto" w:fill="FFFFFF"/>
        </w:rPr>
        <w:t xml:space="preserve">.005, uncorrected k </w:t>
      </w:r>
      <w:r w:rsidRPr="00AD63BD">
        <w:rPr>
          <w:rFonts w:ascii="Times New Roman" w:hAnsi="Times New Roman" w:cs="Times New Roman"/>
          <w:i/>
          <w:color w:val="2A2A2A"/>
          <w:sz w:val="24"/>
          <w:szCs w:val="24"/>
          <w:shd w:val="clear" w:color="auto" w:fill="FFFFFF"/>
        </w:rPr>
        <w:t xml:space="preserve">≥ 20. </w:t>
      </w:r>
    </w:p>
    <w:p w14:paraId="2558EA65" w14:textId="77777777" w:rsidR="00981C48" w:rsidRPr="00AD63BD" w:rsidRDefault="00981C48" w:rsidP="00981C48">
      <w:pPr>
        <w:spacing w:line="480" w:lineRule="auto"/>
        <w:rPr>
          <w:rFonts w:ascii="Times New Roman" w:hAnsi="Times New Roman" w:cs="Times New Roman"/>
          <w:i/>
          <w:color w:val="000000"/>
          <w:sz w:val="24"/>
          <w:szCs w:val="24"/>
          <w:shd w:val="clear" w:color="auto" w:fill="FFFFFF"/>
        </w:rPr>
      </w:pPr>
      <w:r w:rsidRPr="00AD63BD">
        <w:rPr>
          <w:rFonts w:ascii="Times New Roman" w:hAnsi="Times New Roman" w:cs="Times New Roman"/>
          <w:i/>
          <w:color w:val="000000"/>
          <w:sz w:val="24"/>
          <w:szCs w:val="24"/>
          <w:shd w:val="clear" w:color="auto" w:fill="FFFFFF"/>
        </w:rPr>
        <w:lastRenderedPageBreak/>
        <w:t>Left amygdala</w:t>
      </w:r>
    </w:p>
    <w:p w14:paraId="5F24FE01" w14:textId="10B82D7E" w:rsidR="00981C48" w:rsidRPr="00AD63BD" w:rsidRDefault="00981C48" w:rsidP="00981C48">
      <w:pPr>
        <w:spacing w:line="480" w:lineRule="auto"/>
        <w:rPr>
          <w:rFonts w:ascii="Times New Roman" w:hAnsi="Times New Roman" w:cs="Times New Roman"/>
          <w:color w:val="000000"/>
          <w:sz w:val="24"/>
          <w:szCs w:val="24"/>
          <w:shd w:val="clear" w:color="auto" w:fill="FFFFFF"/>
        </w:rPr>
      </w:pPr>
      <w:r w:rsidRPr="00AD63BD">
        <w:rPr>
          <w:rFonts w:ascii="Times New Roman" w:hAnsi="Times New Roman" w:cs="Times New Roman"/>
          <w:color w:val="000000"/>
          <w:sz w:val="24"/>
          <w:szCs w:val="24"/>
          <w:shd w:val="clear" w:color="auto" w:fill="FFFFFF"/>
        </w:rPr>
        <w:t xml:space="preserve">There was no evidence of functional coupling between the MFG and the left amygdala in ROI analyses for the TD or CP/LCU groups individually, and no differences emerged between groups. In whole brain analyses, no clusters showed significant functional coupling with the left amygdala for the TD group alone. </w:t>
      </w:r>
      <w:r w:rsidRPr="00AD63BD">
        <w:rPr>
          <w:rFonts w:ascii="Times New Roman" w:hAnsi="Times New Roman" w:cs="Times New Roman"/>
          <w:color w:val="2A2A2A"/>
          <w:sz w:val="24"/>
          <w:szCs w:val="24"/>
          <w:shd w:val="clear" w:color="auto" w:fill="FFFFFF"/>
        </w:rPr>
        <w:t>For CP/</w:t>
      </w:r>
      <w:r w:rsidR="004E6FC2" w:rsidRPr="00AD63BD">
        <w:rPr>
          <w:rFonts w:ascii="Times New Roman" w:hAnsi="Times New Roman" w:cs="Times New Roman"/>
          <w:color w:val="2A2A2A"/>
          <w:sz w:val="24"/>
          <w:szCs w:val="24"/>
          <w:shd w:val="clear" w:color="auto" w:fill="FFFFFF"/>
        </w:rPr>
        <w:t>LCU&gt;</w:t>
      </w:r>
      <w:r w:rsidRPr="00AD63BD">
        <w:rPr>
          <w:rFonts w:ascii="Times New Roman" w:hAnsi="Times New Roman" w:cs="Times New Roman"/>
          <w:color w:val="2A2A2A"/>
          <w:sz w:val="24"/>
          <w:szCs w:val="24"/>
          <w:shd w:val="clear" w:color="auto" w:fill="FFFFFF"/>
        </w:rPr>
        <w:t>TD, clusters survived in the cerebellum (peak=-12 -36 -26, </w:t>
      </w:r>
      <w:r w:rsidRPr="00AD63BD">
        <w:rPr>
          <w:rStyle w:val="Emphasis"/>
          <w:rFonts w:ascii="Times New Roman" w:hAnsi="Times New Roman" w:cs="Times New Roman"/>
          <w:color w:val="2A2A2A"/>
          <w:sz w:val="24"/>
          <w:szCs w:val="24"/>
          <w:bdr w:val="none" w:sz="0" w:space="0" w:color="auto" w:frame="1"/>
          <w:shd w:val="clear" w:color="auto" w:fill="FFFFFF"/>
        </w:rPr>
        <w:t>k</w:t>
      </w:r>
      <w:r w:rsidRPr="00AD63BD">
        <w:rPr>
          <w:rFonts w:ascii="Times New Roman" w:hAnsi="Times New Roman" w:cs="Times New Roman"/>
          <w:color w:val="2A2A2A"/>
          <w:sz w:val="24"/>
          <w:szCs w:val="24"/>
          <w:shd w:val="clear" w:color="auto" w:fill="FFFFFF"/>
        </w:rPr>
        <w:t> = 11, </w:t>
      </w:r>
      <w:r w:rsidRPr="00AD63BD">
        <w:rPr>
          <w:rStyle w:val="Emphasis"/>
          <w:rFonts w:ascii="Times New Roman" w:hAnsi="Times New Roman" w:cs="Times New Roman"/>
          <w:color w:val="2A2A2A"/>
          <w:sz w:val="24"/>
          <w:szCs w:val="24"/>
          <w:bdr w:val="none" w:sz="0" w:space="0" w:color="auto" w:frame="1"/>
          <w:shd w:val="clear" w:color="auto" w:fill="FFFFFF"/>
        </w:rPr>
        <w:t>t</w:t>
      </w:r>
      <w:r w:rsidRPr="00AD63BD">
        <w:rPr>
          <w:rFonts w:ascii="Times New Roman" w:hAnsi="Times New Roman" w:cs="Times New Roman"/>
          <w:color w:val="2A2A2A"/>
          <w:sz w:val="24"/>
          <w:szCs w:val="24"/>
          <w:shd w:val="clear" w:color="auto" w:fill="FFFFFF"/>
        </w:rPr>
        <w:t> = 3.20, </w:t>
      </w:r>
      <w:r w:rsidRPr="00AD63BD">
        <w:rPr>
          <w:rStyle w:val="Emphasis"/>
          <w:rFonts w:ascii="Times New Roman" w:hAnsi="Times New Roman" w:cs="Times New Roman"/>
          <w:color w:val="2A2A2A"/>
          <w:sz w:val="24"/>
          <w:szCs w:val="24"/>
          <w:bdr w:val="none" w:sz="0" w:space="0" w:color="auto" w:frame="1"/>
          <w:shd w:val="clear" w:color="auto" w:fill="FFFFFF"/>
        </w:rPr>
        <w:t>z</w:t>
      </w:r>
      <w:r w:rsidRPr="00AD63BD">
        <w:rPr>
          <w:rFonts w:ascii="Times New Roman" w:hAnsi="Times New Roman" w:cs="Times New Roman"/>
          <w:color w:val="2A2A2A"/>
          <w:sz w:val="24"/>
          <w:szCs w:val="24"/>
          <w:shd w:val="clear" w:color="auto" w:fill="FFFFFF"/>
        </w:rPr>
        <w:t> = 3.04) and right inferior frontal gyrus (peak=28 30 -14, </w:t>
      </w:r>
      <w:r w:rsidRPr="00AD63BD">
        <w:rPr>
          <w:rStyle w:val="Emphasis"/>
          <w:rFonts w:ascii="Times New Roman" w:hAnsi="Times New Roman" w:cs="Times New Roman"/>
          <w:color w:val="2A2A2A"/>
          <w:sz w:val="24"/>
          <w:szCs w:val="24"/>
          <w:bdr w:val="none" w:sz="0" w:space="0" w:color="auto" w:frame="1"/>
          <w:shd w:val="clear" w:color="auto" w:fill="FFFFFF"/>
        </w:rPr>
        <w:t>k</w:t>
      </w:r>
      <w:r w:rsidRPr="00AD63BD">
        <w:rPr>
          <w:rFonts w:ascii="Times New Roman" w:hAnsi="Times New Roman" w:cs="Times New Roman"/>
          <w:color w:val="2A2A2A"/>
          <w:sz w:val="24"/>
          <w:szCs w:val="24"/>
          <w:shd w:val="clear" w:color="auto" w:fill="FFFFFF"/>
        </w:rPr>
        <w:t> = 12, </w:t>
      </w:r>
      <w:r w:rsidRPr="00AD63BD">
        <w:rPr>
          <w:rStyle w:val="Emphasis"/>
          <w:rFonts w:ascii="Times New Roman" w:hAnsi="Times New Roman" w:cs="Times New Roman"/>
          <w:color w:val="2A2A2A"/>
          <w:sz w:val="24"/>
          <w:szCs w:val="24"/>
          <w:bdr w:val="none" w:sz="0" w:space="0" w:color="auto" w:frame="1"/>
          <w:shd w:val="clear" w:color="auto" w:fill="FFFFFF"/>
        </w:rPr>
        <w:t>t</w:t>
      </w:r>
      <w:r w:rsidRPr="00AD63BD">
        <w:rPr>
          <w:rFonts w:ascii="Times New Roman" w:hAnsi="Times New Roman" w:cs="Times New Roman"/>
          <w:color w:val="2A2A2A"/>
          <w:sz w:val="24"/>
          <w:szCs w:val="24"/>
          <w:shd w:val="clear" w:color="auto" w:fill="FFFFFF"/>
        </w:rPr>
        <w:t> = 3.10, </w:t>
      </w:r>
      <w:r w:rsidRPr="00AD63BD">
        <w:rPr>
          <w:rStyle w:val="Emphasis"/>
          <w:rFonts w:ascii="Times New Roman" w:hAnsi="Times New Roman" w:cs="Times New Roman"/>
          <w:color w:val="2A2A2A"/>
          <w:sz w:val="24"/>
          <w:szCs w:val="24"/>
          <w:bdr w:val="none" w:sz="0" w:space="0" w:color="auto" w:frame="1"/>
          <w:shd w:val="clear" w:color="auto" w:fill="FFFFFF"/>
        </w:rPr>
        <w:t>z</w:t>
      </w:r>
      <w:r w:rsidRPr="00AD63BD">
        <w:rPr>
          <w:rFonts w:ascii="Times New Roman" w:hAnsi="Times New Roman" w:cs="Times New Roman"/>
          <w:color w:val="2A2A2A"/>
          <w:sz w:val="24"/>
          <w:szCs w:val="24"/>
          <w:shd w:val="clear" w:color="auto" w:fill="FFFFFF"/>
        </w:rPr>
        <w:t xml:space="preserve"> = 2.95). However, these clusters did not survive masking with the simple effect (fear/compatible &gt; fear/incompatible). No clusters emerged in which functional coupling with the left amygdala was greater for TD compared with CP/LCU. </w:t>
      </w:r>
    </w:p>
    <w:p w14:paraId="293159FC" w14:textId="77777777" w:rsidR="00981C48" w:rsidRPr="00AD63BD" w:rsidRDefault="00981C48" w:rsidP="00981C48">
      <w:pPr>
        <w:spacing w:line="480" w:lineRule="auto"/>
        <w:rPr>
          <w:rFonts w:ascii="Times New Roman" w:hAnsi="Times New Roman" w:cs="Times New Roman"/>
          <w:i/>
          <w:color w:val="000000"/>
          <w:sz w:val="24"/>
          <w:szCs w:val="24"/>
          <w:shd w:val="clear" w:color="auto" w:fill="FFFFFF"/>
        </w:rPr>
      </w:pPr>
      <w:r w:rsidRPr="00AD63BD">
        <w:rPr>
          <w:rFonts w:ascii="Times New Roman" w:hAnsi="Times New Roman" w:cs="Times New Roman"/>
          <w:i/>
          <w:color w:val="000000"/>
          <w:sz w:val="24"/>
          <w:szCs w:val="24"/>
          <w:shd w:val="clear" w:color="auto" w:fill="FFFFFF"/>
        </w:rPr>
        <w:t>Right amygdala</w:t>
      </w:r>
    </w:p>
    <w:p w14:paraId="542B4310" w14:textId="17F549C7" w:rsidR="00832607" w:rsidRPr="00C92417" w:rsidRDefault="00981C48" w:rsidP="00C92417">
      <w:pPr>
        <w:spacing w:line="480" w:lineRule="auto"/>
        <w:rPr>
          <w:rFonts w:ascii="Times New Roman" w:hAnsi="Times New Roman" w:cs="Times New Roman"/>
          <w:color w:val="2A2A2A"/>
          <w:sz w:val="24"/>
          <w:szCs w:val="24"/>
          <w:shd w:val="clear" w:color="auto" w:fill="FFFFFF"/>
        </w:rPr>
      </w:pPr>
      <w:r w:rsidRPr="00AD63BD">
        <w:rPr>
          <w:rFonts w:ascii="Times New Roman" w:hAnsi="Times New Roman" w:cs="Times New Roman"/>
          <w:color w:val="2A2A2A"/>
          <w:sz w:val="24"/>
          <w:szCs w:val="24"/>
          <w:shd w:val="clear" w:color="auto" w:fill="FFFFFF"/>
        </w:rPr>
        <w:t>No functional coupling between right amygdala and MFG was found in either group, and no differences between groups emerged. In exploratory whole brain analyses, the CP/LCU group showed greater functional coupling between the right amygdala and the left temporal pole (peak=-20 4 -20, </w:t>
      </w:r>
      <w:r w:rsidRPr="00AD63BD">
        <w:rPr>
          <w:rStyle w:val="Emphasis"/>
          <w:rFonts w:ascii="Times New Roman" w:hAnsi="Times New Roman" w:cs="Times New Roman"/>
          <w:color w:val="2A2A2A"/>
          <w:sz w:val="24"/>
          <w:szCs w:val="24"/>
          <w:bdr w:val="none" w:sz="0" w:space="0" w:color="auto" w:frame="1"/>
          <w:shd w:val="clear" w:color="auto" w:fill="FFFFFF"/>
        </w:rPr>
        <w:t>k</w:t>
      </w:r>
      <w:r w:rsidRPr="00AD63BD">
        <w:rPr>
          <w:rFonts w:ascii="Times New Roman" w:hAnsi="Times New Roman" w:cs="Times New Roman"/>
          <w:color w:val="2A2A2A"/>
          <w:sz w:val="24"/>
          <w:szCs w:val="24"/>
          <w:shd w:val="clear" w:color="auto" w:fill="FFFFFF"/>
        </w:rPr>
        <w:t> = 45, </w:t>
      </w:r>
      <w:r w:rsidRPr="00AD63BD">
        <w:rPr>
          <w:rStyle w:val="Emphasis"/>
          <w:rFonts w:ascii="Times New Roman" w:hAnsi="Times New Roman" w:cs="Times New Roman"/>
          <w:color w:val="2A2A2A"/>
          <w:sz w:val="24"/>
          <w:szCs w:val="24"/>
          <w:bdr w:val="none" w:sz="0" w:space="0" w:color="auto" w:frame="1"/>
          <w:shd w:val="clear" w:color="auto" w:fill="FFFFFF"/>
        </w:rPr>
        <w:t>t</w:t>
      </w:r>
      <w:r w:rsidRPr="00AD63BD">
        <w:rPr>
          <w:rFonts w:ascii="Times New Roman" w:hAnsi="Times New Roman" w:cs="Times New Roman"/>
          <w:color w:val="2A2A2A"/>
          <w:sz w:val="24"/>
          <w:szCs w:val="24"/>
          <w:shd w:val="clear" w:color="auto" w:fill="FFFFFF"/>
        </w:rPr>
        <w:t> = 4.20, </w:t>
      </w:r>
      <w:r w:rsidRPr="00AD63BD">
        <w:rPr>
          <w:rStyle w:val="Emphasis"/>
          <w:rFonts w:ascii="Times New Roman" w:hAnsi="Times New Roman" w:cs="Times New Roman"/>
          <w:color w:val="2A2A2A"/>
          <w:sz w:val="24"/>
          <w:szCs w:val="24"/>
          <w:bdr w:val="none" w:sz="0" w:space="0" w:color="auto" w:frame="1"/>
          <w:shd w:val="clear" w:color="auto" w:fill="FFFFFF"/>
        </w:rPr>
        <w:t>z</w:t>
      </w:r>
      <w:r w:rsidRPr="00AD63BD">
        <w:rPr>
          <w:rFonts w:ascii="Times New Roman" w:hAnsi="Times New Roman" w:cs="Times New Roman"/>
          <w:color w:val="2A2A2A"/>
          <w:sz w:val="24"/>
          <w:szCs w:val="24"/>
          <w:shd w:val="clear" w:color="auto" w:fill="FFFFFF"/>
        </w:rPr>
        <w:t> = 3.86) and left hippocampus (peak=-18 -18 -18, </w:t>
      </w:r>
      <w:r w:rsidRPr="00AD63BD">
        <w:rPr>
          <w:rStyle w:val="Emphasis"/>
          <w:rFonts w:ascii="Times New Roman" w:hAnsi="Times New Roman" w:cs="Times New Roman"/>
          <w:color w:val="2A2A2A"/>
          <w:sz w:val="24"/>
          <w:szCs w:val="24"/>
          <w:bdr w:val="none" w:sz="0" w:space="0" w:color="auto" w:frame="1"/>
          <w:shd w:val="clear" w:color="auto" w:fill="FFFFFF"/>
        </w:rPr>
        <w:t>k</w:t>
      </w:r>
      <w:r w:rsidRPr="00AD63BD">
        <w:rPr>
          <w:rFonts w:ascii="Times New Roman" w:hAnsi="Times New Roman" w:cs="Times New Roman"/>
          <w:color w:val="2A2A2A"/>
          <w:sz w:val="24"/>
          <w:szCs w:val="24"/>
          <w:shd w:val="clear" w:color="auto" w:fill="FFFFFF"/>
        </w:rPr>
        <w:t> = 45, </w:t>
      </w:r>
      <w:r w:rsidRPr="00AD63BD">
        <w:rPr>
          <w:rStyle w:val="Emphasis"/>
          <w:rFonts w:ascii="Times New Roman" w:hAnsi="Times New Roman" w:cs="Times New Roman"/>
          <w:color w:val="2A2A2A"/>
          <w:sz w:val="24"/>
          <w:szCs w:val="24"/>
          <w:bdr w:val="none" w:sz="0" w:space="0" w:color="auto" w:frame="1"/>
          <w:shd w:val="clear" w:color="auto" w:fill="FFFFFF"/>
        </w:rPr>
        <w:t>t</w:t>
      </w:r>
      <w:r w:rsidRPr="00AD63BD">
        <w:rPr>
          <w:rFonts w:ascii="Times New Roman" w:hAnsi="Times New Roman" w:cs="Times New Roman"/>
          <w:color w:val="2A2A2A"/>
          <w:sz w:val="24"/>
          <w:szCs w:val="24"/>
          <w:shd w:val="clear" w:color="auto" w:fill="FFFFFF"/>
        </w:rPr>
        <w:t> = 3.45, </w:t>
      </w:r>
      <w:r w:rsidRPr="00AD63BD">
        <w:rPr>
          <w:rStyle w:val="Emphasis"/>
          <w:rFonts w:ascii="Times New Roman" w:hAnsi="Times New Roman" w:cs="Times New Roman"/>
          <w:color w:val="2A2A2A"/>
          <w:sz w:val="24"/>
          <w:szCs w:val="24"/>
          <w:bdr w:val="none" w:sz="0" w:space="0" w:color="auto" w:frame="1"/>
          <w:shd w:val="clear" w:color="auto" w:fill="FFFFFF"/>
        </w:rPr>
        <w:t>z</w:t>
      </w:r>
      <w:r w:rsidRPr="00AD63BD">
        <w:rPr>
          <w:rFonts w:ascii="Times New Roman" w:hAnsi="Times New Roman" w:cs="Times New Roman"/>
          <w:color w:val="2A2A2A"/>
          <w:sz w:val="24"/>
          <w:szCs w:val="24"/>
          <w:shd w:val="clear" w:color="auto" w:fill="FFFFFF"/>
        </w:rPr>
        <w:t> = 3.25) than TD controls. The cluster in left hippocampus survived masking with the s</w:t>
      </w:r>
      <w:r w:rsidR="004E6FC2" w:rsidRPr="00AD63BD">
        <w:rPr>
          <w:rFonts w:ascii="Times New Roman" w:hAnsi="Times New Roman" w:cs="Times New Roman"/>
          <w:color w:val="2A2A2A"/>
          <w:sz w:val="24"/>
          <w:szCs w:val="24"/>
          <w:shd w:val="clear" w:color="auto" w:fill="FFFFFF"/>
        </w:rPr>
        <w:t>imple effect (fear/compatible&gt;</w:t>
      </w:r>
      <w:r w:rsidRPr="00AD63BD">
        <w:rPr>
          <w:rFonts w:ascii="Times New Roman" w:hAnsi="Times New Roman" w:cs="Times New Roman"/>
          <w:color w:val="2A2A2A"/>
          <w:sz w:val="24"/>
          <w:szCs w:val="24"/>
          <w:shd w:val="clear" w:color="auto" w:fill="FFFFFF"/>
        </w:rPr>
        <w:t xml:space="preserve">fear/incompatible). No clusters emerged in which TD showed greater functional coupling with the right amygdala compared with CP/LCU. </w:t>
      </w:r>
    </w:p>
    <w:sectPr w:rsidR="00832607" w:rsidRPr="00C9241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B51D" w14:textId="77777777" w:rsidR="003E2FCA" w:rsidRDefault="003E2FCA" w:rsidP="000628A8">
      <w:pPr>
        <w:spacing w:after="0" w:line="240" w:lineRule="auto"/>
      </w:pPr>
      <w:r>
        <w:separator/>
      </w:r>
    </w:p>
  </w:endnote>
  <w:endnote w:type="continuationSeparator" w:id="0">
    <w:p w14:paraId="4F6844A8" w14:textId="77777777" w:rsidR="003E2FCA" w:rsidRDefault="003E2FCA" w:rsidP="0006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758424"/>
      <w:docPartObj>
        <w:docPartGallery w:val="Page Numbers (Bottom of Page)"/>
        <w:docPartUnique/>
      </w:docPartObj>
    </w:sdtPr>
    <w:sdtEndPr>
      <w:rPr>
        <w:noProof/>
      </w:rPr>
    </w:sdtEndPr>
    <w:sdtContent>
      <w:p w14:paraId="3EC31E4D" w14:textId="01495162" w:rsidR="000628A8" w:rsidRDefault="000628A8">
        <w:pPr>
          <w:pStyle w:val="Footer"/>
          <w:jc w:val="right"/>
        </w:pPr>
        <w:r>
          <w:fldChar w:fldCharType="begin"/>
        </w:r>
        <w:r>
          <w:instrText xml:space="preserve"> PAGE   \* MERGEFORMAT </w:instrText>
        </w:r>
        <w:r>
          <w:fldChar w:fldCharType="separate"/>
        </w:r>
        <w:r w:rsidR="00F65EDE">
          <w:rPr>
            <w:noProof/>
          </w:rPr>
          <w:t>3</w:t>
        </w:r>
        <w:r>
          <w:rPr>
            <w:noProof/>
          </w:rPr>
          <w:fldChar w:fldCharType="end"/>
        </w:r>
      </w:p>
    </w:sdtContent>
  </w:sdt>
  <w:p w14:paraId="396A12A1" w14:textId="77777777" w:rsidR="000628A8" w:rsidRDefault="0006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079F" w14:textId="77777777" w:rsidR="003E2FCA" w:rsidRDefault="003E2FCA" w:rsidP="000628A8">
      <w:pPr>
        <w:spacing w:after="0" w:line="240" w:lineRule="auto"/>
      </w:pPr>
      <w:r>
        <w:separator/>
      </w:r>
    </w:p>
  </w:footnote>
  <w:footnote w:type="continuationSeparator" w:id="0">
    <w:p w14:paraId="6DB0C53C" w14:textId="77777777" w:rsidR="003E2FCA" w:rsidRDefault="003E2FCA" w:rsidP="00062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48"/>
    <w:rsid w:val="00016758"/>
    <w:rsid w:val="000628A8"/>
    <w:rsid w:val="00104CF7"/>
    <w:rsid w:val="001E3B15"/>
    <w:rsid w:val="002F0988"/>
    <w:rsid w:val="003931FB"/>
    <w:rsid w:val="003E2FCA"/>
    <w:rsid w:val="00437D71"/>
    <w:rsid w:val="004E6FC2"/>
    <w:rsid w:val="00561F95"/>
    <w:rsid w:val="00620468"/>
    <w:rsid w:val="006552E8"/>
    <w:rsid w:val="007F72C3"/>
    <w:rsid w:val="00832607"/>
    <w:rsid w:val="00981C48"/>
    <w:rsid w:val="00A55E66"/>
    <w:rsid w:val="00AD63BD"/>
    <w:rsid w:val="00B43030"/>
    <w:rsid w:val="00BA4D6A"/>
    <w:rsid w:val="00C05E47"/>
    <w:rsid w:val="00C92417"/>
    <w:rsid w:val="00DA6C30"/>
    <w:rsid w:val="00E65E71"/>
    <w:rsid w:val="00EC6C38"/>
    <w:rsid w:val="00EE5ED5"/>
    <w:rsid w:val="00F6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3327"/>
  <w15:chartTrackingRefBased/>
  <w15:docId w15:val="{B1BFA699-48B2-4E5B-BEBB-6A177F82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1C48"/>
    <w:rPr>
      <w:sz w:val="18"/>
      <w:szCs w:val="18"/>
    </w:rPr>
  </w:style>
  <w:style w:type="paragraph" w:styleId="CommentText">
    <w:name w:val="annotation text"/>
    <w:basedOn w:val="Normal"/>
    <w:link w:val="CommentTextChar"/>
    <w:uiPriority w:val="99"/>
    <w:unhideWhenUsed/>
    <w:rsid w:val="00981C48"/>
    <w:pPr>
      <w:spacing w:line="240" w:lineRule="auto"/>
    </w:pPr>
    <w:rPr>
      <w:sz w:val="24"/>
      <w:szCs w:val="24"/>
    </w:rPr>
  </w:style>
  <w:style w:type="character" w:customStyle="1" w:styleId="CommentTextChar">
    <w:name w:val="Comment Text Char"/>
    <w:basedOn w:val="DefaultParagraphFont"/>
    <w:link w:val="CommentText"/>
    <w:uiPriority w:val="99"/>
    <w:rsid w:val="00981C48"/>
    <w:rPr>
      <w:sz w:val="24"/>
      <w:szCs w:val="24"/>
    </w:rPr>
  </w:style>
  <w:style w:type="character" w:styleId="Emphasis">
    <w:name w:val="Emphasis"/>
    <w:basedOn w:val="DefaultParagraphFont"/>
    <w:uiPriority w:val="20"/>
    <w:qFormat/>
    <w:rsid w:val="00981C48"/>
    <w:rPr>
      <w:i/>
      <w:iCs/>
    </w:rPr>
  </w:style>
  <w:style w:type="paragraph" w:styleId="BalloonText">
    <w:name w:val="Balloon Text"/>
    <w:basedOn w:val="Normal"/>
    <w:link w:val="BalloonTextChar"/>
    <w:uiPriority w:val="99"/>
    <w:semiHidden/>
    <w:unhideWhenUsed/>
    <w:rsid w:val="00981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48"/>
    <w:rPr>
      <w:rFonts w:ascii="Segoe UI" w:hAnsi="Segoe UI" w:cs="Segoe UI"/>
      <w:sz w:val="18"/>
      <w:szCs w:val="18"/>
    </w:rPr>
  </w:style>
  <w:style w:type="paragraph" w:styleId="Header">
    <w:name w:val="header"/>
    <w:basedOn w:val="Normal"/>
    <w:link w:val="HeaderChar"/>
    <w:uiPriority w:val="99"/>
    <w:unhideWhenUsed/>
    <w:rsid w:val="00062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8A8"/>
  </w:style>
  <w:style w:type="paragraph" w:styleId="Footer">
    <w:name w:val="footer"/>
    <w:basedOn w:val="Normal"/>
    <w:link w:val="FooterChar"/>
    <w:uiPriority w:val="99"/>
    <w:unhideWhenUsed/>
    <w:rsid w:val="00062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Catherine</dc:creator>
  <cp:keywords/>
  <dc:description/>
  <cp:lastModifiedBy>Catherine Catherine</cp:lastModifiedBy>
  <cp:revision>23</cp:revision>
  <dcterms:created xsi:type="dcterms:W3CDTF">2018-09-18T09:36:00Z</dcterms:created>
  <dcterms:modified xsi:type="dcterms:W3CDTF">2019-03-03T13:54:00Z</dcterms:modified>
</cp:coreProperties>
</file>