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D63A01" w14:textId="58B17668" w:rsidR="00967FB7" w:rsidRPr="004B68C6" w:rsidRDefault="00D32BAB" w:rsidP="005562B5">
      <w:pPr>
        <w:spacing w:line="360" w:lineRule="auto"/>
        <w:rPr>
          <w:rFonts w:ascii="Times New Roman" w:hAnsi="Times New Roman" w:cs="Times New Roman"/>
          <w:b/>
          <w:sz w:val="24"/>
          <w:szCs w:val="24"/>
        </w:rPr>
      </w:pPr>
      <w:r>
        <w:rPr>
          <w:rFonts w:ascii="Times New Roman" w:hAnsi="Times New Roman" w:cs="Times New Roman"/>
          <w:b/>
          <w:sz w:val="24"/>
          <w:szCs w:val="24"/>
        </w:rPr>
        <w:t>SUPPLEMENTA</w:t>
      </w:r>
      <w:r w:rsidR="003460F1">
        <w:rPr>
          <w:rFonts w:ascii="Times New Roman" w:hAnsi="Times New Roman" w:cs="Times New Roman"/>
          <w:b/>
          <w:sz w:val="24"/>
          <w:szCs w:val="24"/>
        </w:rPr>
        <w:t>RY</w:t>
      </w:r>
      <w:r w:rsidR="00967FB7">
        <w:rPr>
          <w:rFonts w:ascii="Times New Roman" w:hAnsi="Times New Roman" w:cs="Times New Roman"/>
          <w:b/>
          <w:sz w:val="24"/>
          <w:szCs w:val="24"/>
        </w:rPr>
        <w:t xml:space="preserve"> MATERIAL</w:t>
      </w:r>
    </w:p>
    <w:p w14:paraId="437C34A2" w14:textId="442C3528" w:rsidR="00967FB7" w:rsidRPr="00B72864" w:rsidRDefault="0097017E" w:rsidP="0097017E">
      <w:pPr>
        <w:rPr>
          <w:rFonts w:ascii="Times New Roman" w:hAnsi="Times New Roman" w:cs="Times New Roman"/>
          <w:b/>
          <w:sz w:val="24"/>
          <w:szCs w:val="24"/>
        </w:rPr>
      </w:pPr>
      <w:r>
        <w:rPr>
          <w:rFonts w:ascii="Times New Roman" w:hAnsi="Times New Roman" w:cs="Times New Roman"/>
          <w:b/>
          <w:sz w:val="24"/>
          <w:szCs w:val="24"/>
        </w:rPr>
        <w:t>Supplement 1</w:t>
      </w:r>
      <w:r w:rsidR="00070D21">
        <w:rPr>
          <w:rFonts w:ascii="Times New Roman" w:hAnsi="Times New Roman" w:cs="Times New Roman"/>
          <w:b/>
          <w:sz w:val="24"/>
          <w:szCs w:val="24"/>
        </w:rPr>
        <w:t xml:space="preserve">: </w:t>
      </w:r>
      <w:r w:rsidR="00D32BAB">
        <w:rPr>
          <w:rFonts w:ascii="Times New Roman" w:hAnsi="Times New Roman" w:cs="Times New Roman"/>
          <w:b/>
          <w:sz w:val="24"/>
          <w:szCs w:val="24"/>
        </w:rPr>
        <w:t>Picture-based t</w:t>
      </w:r>
      <w:r w:rsidR="00967FB7" w:rsidRPr="00B72864">
        <w:rPr>
          <w:rFonts w:ascii="Times New Roman" w:hAnsi="Times New Roman" w:cs="Times New Roman"/>
          <w:b/>
          <w:sz w:val="24"/>
          <w:szCs w:val="24"/>
        </w:rPr>
        <w:t>ask</w:t>
      </w:r>
    </w:p>
    <w:p w14:paraId="0EFBFB2E" w14:textId="77777777" w:rsidR="00967FB7" w:rsidRPr="00056413" w:rsidRDefault="00967FB7" w:rsidP="005562B5">
      <w:pPr>
        <w:spacing w:line="360" w:lineRule="auto"/>
        <w:rPr>
          <w:rFonts w:ascii="Times New Roman" w:hAnsi="Times New Roman" w:cs="Times New Roman"/>
          <w:b/>
          <w:sz w:val="24"/>
          <w:szCs w:val="24"/>
        </w:rPr>
      </w:pPr>
      <w:r w:rsidRPr="00056413">
        <w:rPr>
          <w:rFonts w:ascii="Times New Roman" w:hAnsi="Times New Roman" w:cs="Times New Roman"/>
          <w:b/>
          <w:sz w:val="24"/>
          <w:szCs w:val="24"/>
        </w:rPr>
        <w:t>Method</w:t>
      </w:r>
    </w:p>
    <w:p w14:paraId="73DFBC65" w14:textId="71F8DEEF" w:rsidR="00967FB7" w:rsidRDefault="0097017E" w:rsidP="005562B5">
      <w:pPr>
        <w:spacing w:line="360" w:lineRule="auto"/>
        <w:rPr>
          <w:rFonts w:ascii="Times New Roman" w:hAnsi="Times New Roman" w:cs="Times New Roman"/>
          <w:sz w:val="24"/>
          <w:szCs w:val="24"/>
        </w:rPr>
      </w:pPr>
      <w:r>
        <w:rPr>
          <w:rFonts w:ascii="Times New Roman" w:hAnsi="Times New Roman" w:cs="Times New Roman"/>
          <w:sz w:val="24"/>
          <w:szCs w:val="24"/>
        </w:rPr>
        <w:t>An</w:t>
      </w:r>
      <w:r w:rsidR="00967FB7">
        <w:rPr>
          <w:rFonts w:ascii="Times New Roman" w:hAnsi="Times New Roman" w:cs="Times New Roman"/>
          <w:sz w:val="24"/>
          <w:szCs w:val="24"/>
        </w:rPr>
        <w:t xml:space="preserve"> explorative, picture-based task (PBT) resembling that used in the study of </w:t>
      </w:r>
      <w:r w:rsidR="00967FB7">
        <w:rPr>
          <w:rFonts w:ascii="Times New Roman" w:hAnsi="Times New Roman" w:cs="Times New Roman"/>
          <w:noProof/>
          <w:sz w:val="24"/>
          <w:szCs w:val="24"/>
        </w:rPr>
        <w:t>Haller, Raeder, Scerif, Kadosh, and Lau (2016)</w:t>
      </w:r>
      <w:r w:rsidR="00967FB7">
        <w:rPr>
          <w:rFonts w:ascii="Times New Roman" w:hAnsi="Times New Roman" w:cs="Times New Roman"/>
          <w:sz w:val="24"/>
          <w:szCs w:val="24"/>
        </w:rPr>
        <w:t xml:space="preserve"> was additionally applied to assess interpretation bias. </w:t>
      </w:r>
    </w:p>
    <w:p w14:paraId="694B60BB" w14:textId="4276A0CD" w:rsidR="00967FB7" w:rsidRDefault="00967FB7" w:rsidP="005562B5">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 xml:space="preserve">Ten pictures of social scenes </w:t>
      </w:r>
      <w:r w:rsidR="00D32BAB">
        <w:rPr>
          <w:rFonts w:ascii="Times New Roman" w:hAnsi="Times New Roman" w:cs="Times New Roman"/>
          <w:sz w:val="24"/>
          <w:szCs w:val="24"/>
        </w:rPr>
        <w:t xml:space="preserve">(similar to those used by Haller et al, 2016; Haller, Doherty, Duta, </w:t>
      </w:r>
      <w:proofErr w:type="spellStart"/>
      <w:r w:rsidR="00D32BAB">
        <w:rPr>
          <w:rFonts w:ascii="Times New Roman" w:hAnsi="Times New Roman" w:cs="Times New Roman"/>
          <w:sz w:val="24"/>
          <w:szCs w:val="24"/>
        </w:rPr>
        <w:t>Kadosh</w:t>
      </w:r>
      <w:proofErr w:type="spellEnd"/>
      <w:r w:rsidR="00D32BAB">
        <w:rPr>
          <w:rFonts w:ascii="Times New Roman" w:hAnsi="Times New Roman" w:cs="Times New Roman"/>
          <w:sz w:val="24"/>
          <w:szCs w:val="24"/>
        </w:rPr>
        <w:t xml:space="preserve">, Lau, &amp; </w:t>
      </w:r>
      <w:proofErr w:type="spellStart"/>
      <w:r w:rsidR="00D32BAB">
        <w:rPr>
          <w:rFonts w:ascii="Times New Roman" w:hAnsi="Times New Roman" w:cs="Times New Roman"/>
          <w:sz w:val="24"/>
          <w:szCs w:val="24"/>
        </w:rPr>
        <w:t>Scerif</w:t>
      </w:r>
      <w:proofErr w:type="spellEnd"/>
      <w:r w:rsidR="00D32BAB">
        <w:rPr>
          <w:rFonts w:ascii="Times New Roman" w:hAnsi="Times New Roman" w:cs="Times New Roman"/>
          <w:sz w:val="24"/>
          <w:szCs w:val="24"/>
        </w:rPr>
        <w:t xml:space="preserve">, 2017) </w:t>
      </w:r>
      <w:r>
        <w:rPr>
          <w:rFonts w:ascii="Times New Roman" w:hAnsi="Times New Roman" w:cs="Times New Roman"/>
          <w:sz w:val="24"/>
          <w:szCs w:val="24"/>
        </w:rPr>
        <w:t>associated with possible peer evaluation served as stimuli. In each picture a person (female in eight and male in two</w:t>
      </w:r>
      <w:r w:rsidRPr="00056413">
        <w:rPr>
          <w:rFonts w:ascii="Times New Roman" w:hAnsi="Times New Roman" w:cs="Times New Roman"/>
          <w:sz w:val="24"/>
          <w:szCs w:val="24"/>
        </w:rPr>
        <w:t xml:space="preserve"> </w:t>
      </w:r>
      <w:r>
        <w:rPr>
          <w:rFonts w:ascii="Times New Roman" w:hAnsi="Times New Roman" w:cs="Times New Roman"/>
          <w:sz w:val="24"/>
          <w:szCs w:val="24"/>
        </w:rPr>
        <w:t xml:space="preserve">of the pictures) was depicted from </w:t>
      </w:r>
      <w:r w:rsidR="001E7995">
        <w:rPr>
          <w:rFonts w:ascii="Times New Roman" w:hAnsi="Times New Roman" w:cs="Times New Roman"/>
          <w:sz w:val="24"/>
          <w:szCs w:val="24"/>
        </w:rPr>
        <w:t>behind</w:t>
      </w:r>
      <w:r>
        <w:rPr>
          <w:rFonts w:ascii="Times New Roman" w:hAnsi="Times New Roman" w:cs="Times New Roman"/>
          <w:sz w:val="24"/>
          <w:szCs w:val="24"/>
        </w:rPr>
        <w:t>. Participants were instructed to imagine they were th</w:t>
      </w:r>
      <w:r w:rsidR="001E7995">
        <w:rPr>
          <w:rFonts w:ascii="Times New Roman" w:hAnsi="Times New Roman" w:cs="Times New Roman"/>
          <w:sz w:val="24"/>
          <w:szCs w:val="24"/>
        </w:rPr>
        <w:t>at</w:t>
      </w:r>
      <w:r>
        <w:rPr>
          <w:rFonts w:ascii="Times New Roman" w:hAnsi="Times New Roman" w:cs="Times New Roman"/>
          <w:sz w:val="24"/>
          <w:szCs w:val="24"/>
        </w:rPr>
        <w:t xml:space="preserve"> person and were in that situation. Pictures were presented in random order for five seconds, each followed by </w:t>
      </w:r>
      <w:proofErr w:type="gramStart"/>
      <w:r>
        <w:rPr>
          <w:rFonts w:ascii="Times New Roman" w:hAnsi="Times New Roman" w:cs="Times New Roman"/>
          <w:sz w:val="24"/>
          <w:szCs w:val="24"/>
        </w:rPr>
        <w:t>three</w:t>
      </w:r>
      <w:proofErr w:type="gramEnd"/>
      <w:r>
        <w:rPr>
          <w:rFonts w:ascii="Times New Roman" w:hAnsi="Times New Roman" w:cs="Times New Roman"/>
          <w:sz w:val="24"/>
          <w:szCs w:val="24"/>
        </w:rPr>
        <w:t xml:space="preserve"> statements. The statements consisted of a positive self-related interpretation of the situation (e.g.</w:t>
      </w:r>
      <w:r w:rsidR="00D32BAB">
        <w:rPr>
          <w:rFonts w:ascii="Times New Roman" w:hAnsi="Times New Roman" w:cs="Times New Roman"/>
          <w:sz w:val="24"/>
          <w:szCs w:val="24"/>
        </w:rPr>
        <w:t>,</w:t>
      </w:r>
      <w:r>
        <w:rPr>
          <w:rFonts w:ascii="Times New Roman" w:hAnsi="Times New Roman" w:cs="Times New Roman"/>
          <w:sz w:val="24"/>
          <w:szCs w:val="24"/>
        </w:rPr>
        <w:t xml:space="preserve"> “They want me to take a picture with them”), one negative self-related interpretation (e.g.</w:t>
      </w:r>
      <w:r w:rsidR="00D32BAB">
        <w:rPr>
          <w:rFonts w:ascii="Times New Roman" w:hAnsi="Times New Roman" w:cs="Times New Roman"/>
          <w:sz w:val="24"/>
          <w:szCs w:val="24"/>
        </w:rPr>
        <w:t>,</w:t>
      </w:r>
      <w:r>
        <w:rPr>
          <w:rFonts w:ascii="Times New Roman" w:hAnsi="Times New Roman" w:cs="Times New Roman"/>
          <w:sz w:val="24"/>
          <w:szCs w:val="24"/>
        </w:rPr>
        <w:t xml:space="preserve"> “They do not want me to be in the picture”) and one interpretation unrelated to one’s presence (e.g.</w:t>
      </w:r>
      <w:r w:rsidR="00D32BAB">
        <w:rPr>
          <w:rFonts w:ascii="Times New Roman" w:hAnsi="Times New Roman" w:cs="Times New Roman"/>
          <w:sz w:val="24"/>
          <w:szCs w:val="24"/>
        </w:rPr>
        <w:t>,</w:t>
      </w:r>
      <w:r>
        <w:rPr>
          <w:rFonts w:ascii="Times New Roman" w:hAnsi="Times New Roman" w:cs="Times New Roman"/>
          <w:sz w:val="24"/>
          <w:szCs w:val="24"/>
        </w:rPr>
        <w:t xml:space="preserve"> “They are having fun taking pictures”). The three statements were presented consecutively and participants were asked to rate on a Likert scale from 1 (“very unlikely”) to 7 (“very likely”)</w:t>
      </w:r>
      <w:r w:rsidRPr="00B070B2">
        <w:rPr>
          <w:rFonts w:ascii="Times New Roman" w:hAnsi="Times New Roman" w:cs="Times New Roman"/>
          <w:sz w:val="24"/>
          <w:szCs w:val="24"/>
        </w:rPr>
        <w:t xml:space="preserve"> </w:t>
      </w:r>
      <w:r>
        <w:rPr>
          <w:rFonts w:ascii="Times New Roman" w:hAnsi="Times New Roman" w:cs="Times New Roman"/>
          <w:sz w:val="24"/>
          <w:szCs w:val="24"/>
        </w:rPr>
        <w:t xml:space="preserve">how likely they would </w:t>
      </w:r>
      <w:r w:rsidR="001E7995">
        <w:rPr>
          <w:rFonts w:ascii="Times New Roman" w:hAnsi="Times New Roman" w:cs="Times New Roman"/>
          <w:sz w:val="24"/>
          <w:szCs w:val="24"/>
        </w:rPr>
        <w:t xml:space="preserve">be to </w:t>
      </w:r>
      <w:r>
        <w:rPr>
          <w:rFonts w:ascii="Times New Roman" w:hAnsi="Times New Roman" w:cs="Times New Roman"/>
          <w:sz w:val="24"/>
          <w:szCs w:val="24"/>
        </w:rPr>
        <w:t xml:space="preserve">think </w:t>
      </w:r>
      <w:r w:rsidR="001E7995">
        <w:rPr>
          <w:rFonts w:ascii="Times New Roman" w:hAnsi="Times New Roman" w:cs="Times New Roman"/>
          <w:sz w:val="24"/>
          <w:szCs w:val="24"/>
        </w:rPr>
        <w:t>that way</w:t>
      </w:r>
      <w:r>
        <w:rPr>
          <w:rFonts w:ascii="Times New Roman" w:hAnsi="Times New Roman" w:cs="Times New Roman"/>
          <w:sz w:val="24"/>
          <w:szCs w:val="24"/>
        </w:rPr>
        <w:t xml:space="preserve"> if they were in that situation. After that, all three statements </w:t>
      </w:r>
      <w:r w:rsidR="001E7995">
        <w:rPr>
          <w:rFonts w:ascii="Times New Roman" w:hAnsi="Times New Roman" w:cs="Times New Roman"/>
          <w:sz w:val="24"/>
          <w:szCs w:val="24"/>
        </w:rPr>
        <w:t>were presented simultaneously</w:t>
      </w:r>
      <w:r>
        <w:rPr>
          <w:rFonts w:ascii="Times New Roman" w:hAnsi="Times New Roman" w:cs="Times New Roman"/>
          <w:sz w:val="24"/>
          <w:szCs w:val="24"/>
        </w:rPr>
        <w:t xml:space="preserve"> and </w:t>
      </w:r>
      <w:r w:rsidR="001E7995">
        <w:rPr>
          <w:rFonts w:ascii="Times New Roman" w:hAnsi="Times New Roman" w:cs="Times New Roman"/>
          <w:sz w:val="24"/>
          <w:szCs w:val="24"/>
        </w:rPr>
        <w:t>participants were asked to</w:t>
      </w:r>
      <w:r>
        <w:rPr>
          <w:rFonts w:ascii="Times New Roman" w:hAnsi="Times New Roman" w:cs="Times New Roman"/>
          <w:sz w:val="24"/>
          <w:szCs w:val="24"/>
        </w:rPr>
        <w:t xml:space="preserve"> select which statement represent</w:t>
      </w:r>
      <w:r w:rsidR="001E7995">
        <w:rPr>
          <w:rFonts w:ascii="Times New Roman" w:hAnsi="Times New Roman" w:cs="Times New Roman"/>
          <w:sz w:val="24"/>
          <w:szCs w:val="24"/>
        </w:rPr>
        <w:t>ed</w:t>
      </w:r>
      <w:r>
        <w:rPr>
          <w:rFonts w:ascii="Times New Roman" w:hAnsi="Times New Roman" w:cs="Times New Roman"/>
          <w:sz w:val="24"/>
          <w:szCs w:val="24"/>
        </w:rPr>
        <w:t xml:space="preserve"> the picture </w:t>
      </w:r>
      <w:r w:rsidR="001E7995">
        <w:rPr>
          <w:rFonts w:ascii="Times New Roman" w:hAnsi="Times New Roman" w:cs="Times New Roman"/>
          <w:sz w:val="24"/>
          <w:szCs w:val="24"/>
        </w:rPr>
        <w:t xml:space="preserve">the </w:t>
      </w:r>
      <w:r>
        <w:rPr>
          <w:rFonts w:ascii="Times New Roman" w:hAnsi="Times New Roman" w:cs="Times New Roman"/>
          <w:sz w:val="24"/>
          <w:szCs w:val="24"/>
        </w:rPr>
        <w:t xml:space="preserve">best. The task </w:t>
      </w:r>
      <w:r w:rsidRPr="00C96952">
        <w:rPr>
          <w:rFonts w:ascii="Times New Roman" w:hAnsi="Times New Roman" w:cs="Times New Roman"/>
          <w:sz w:val="24"/>
          <w:szCs w:val="24"/>
        </w:rPr>
        <w:t>was presented using E</w:t>
      </w:r>
      <w:r>
        <w:rPr>
          <w:rFonts w:ascii="Times New Roman" w:hAnsi="Times New Roman" w:cs="Times New Roman"/>
          <w:sz w:val="24"/>
          <w:szCs w:val="24"/>
        </w:rPr>
        <w:t xml:space="preserve">-Prime </w:t>
      </w:r>
      <w:r w:rsidRPr="00DB6D62">
        <w:rPr>
          <w:rFonts w:ascii="Times New Roman" w:hAnsi="Times New Roman" w:cs="Times New Roman"/>
          <w:sz w:val="24"/>
          <w:szCs w:val="24"/>
        </w:rPr>
        <w:t>2.0</w:t>
      </w:r>
      <w:r w:rsidRPr="00C96952">
        <w:rPr>
          <w:rFonts w:ascii="Times New Roman" w:hAnsi="Times New Roman" w:cs="Times New Roman"/>
          <w:sz w:val="24"/>
          <w:szCs w:val="24"/>
        </w:rPr>
        <w:t xml:space="preserve"> software (</w:t>
      </w:r>
      <w:r w:rsidRPr="00996688">
        <w:rPr>
          <w:rFonts w:ascii="Times New Roman" w:hAnsi="Times New Roman" w:cs="Times New Roman"/>
          <w:sz w:val="24"/>
          <w:szCs w:val="24"/>
        </w:rPr>
        <w:t>Psychology Software Tools, Inc., 20</w:t>
      </w:r>
      <w:r w:rsidR="00951493" w:rsidRPr="00996688">
        <w:rPr>
          <w:rFonts w:ascii="Times New Roman" w:hAnsi="Times New Roman" w:cs="Times New Roman"/>
          <w:sz w:val="24"/>
          <w:szCs w:val="24"/>
        </w:rPr>
        <w:t>13</w:t>
      </w:r>
      <w:r>
        <w:rPr>
          <w:rFonts w:ascii="Times New Roman" w:hAnsi="Times New Roman" w:cs="Times New Roman"/>
          <w:sz w:val="24"/>
          <w:szCs w:val="24"/>
        </w:rPr>
        <w:t>) and took approximately five minutes to complete.</w:t>
      </w:r>
    </w:p>
    <w:p w14:paraId="0BCAD176" w14:textId="78953A21" w:rsidR="00967FB7" w:rsidRDefault="00967FB7" w:rsidP="005562B5">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 xml:space="preserve">In accordance with Haller et al. (2016), the mean likelihood rating was calculated for each interpretation type and subjected to a repeated-measures analysis of variance (ANOVA) with within-subjects factor </w:t>
      </w:r>
      <w:proofErr w:type="spellStart"/>
      <w:r w:rsidRPr="009369A1">
        <w:rPr>
          <w:rFonts w:ascii="Times New Roman" w:hAnsi="Times New Roman" w:cs="Times New Roman"/>
          <w:smallCaps/>
          <w:sz w:val="24"/>
          <w:szCs w:val="24"/>
        </w:rPr>
        <w:t>InterpretationType</w:t>
      </w:r>
      <w:proofErr w:type="spellEnd"/>
      <w:r>
        <w:rPr>
          <w:rFonts w:ascii="Times New Roman" w:hAnsi="Times New Roman" w:cs="Times New Roman"/>
          <w:sz w:val="24"/>
          <w:szCs w:val="24"/>
        </w:rPr>
        <w:t xml:space="preserve"> (3: positive, negative, unrelated) and between-subjects factor </w:t>
      </w:r>
      <w:r w:rsidRPr="009369A1">
        <w:rPr>
          <w:rFonts w:ascii="Times New Roman" w:hAnsi="Times New Roman" w:cs="Times New Roman"/>
          <w:smallCaps/>
          <w:sz w:val="24"/>
          <w:szCs w:val="24"/>
        </w:rPr>
        <w:t>Group</w:t>
      </w:r>
      <w:r w:rsidR="009142E1">
        <w:rPr>
          <w:rFonts w:ascii="Times New Roman" w:hAnsi="Times New Roman" w:cs="Times New Roman"/>
          <w:sz w:val="24"/>
          <w:szCs w:val="24"/>
        </w:rPr>
        <w:t xml:space="preserve"> (3</w:t>
      </w:r>
      <w:r>
        <w:rPr>
          <w:rFonts w:ascii="Times New Roman" w:hAnsi="Times New Roman" w:cs="Times New Roman"/>
          <w:sz w:val="24"/>
          <w:szCs w:val="24"/>
        </w:rPr>
        <w:t xml:space="preserve">: </w:t>
      </w:r>
      <w:r w:rsidR="009142E1">
        <w:rPr>
          <w:rFonts w:ascii="Times New Roman" w:hAnsi="Times New Roman" w:cs="Times New Roman"/>
          <w:sz w:val="24"/>
          <w:szCs w:val="24"/>
        </w:rPr>
        <w:t xml:space="preserve">MD, </w:t>
      </w:r>
      <w:r>
        <w:rPr>
          <w:rFonts w:ascii="Times New Roman" w:hAnsi="Times New Roman" w:cs="Times New Roman"/>
          <w:sz w:val="24"/>
          <w:szCs w:val="24"/>
        </w:rPr>
        <w:t>HR, LR).</w:t>
      </w:r>
    </w:p>
    <w:p w14:paraId="633DEB88" w14:textId="78CA062A" w:rsidR="00967FB7" w:rsidRPr="00D32BAB" w:rsidRDefault="00967FB7" w:rsidP="005562B5">
      <w:pPr>
        <w:spacing w:line="360" w:lineRule="auto"/>
        <w:rPr>
          <w:rFonts w:ascii="Times New Roman" w:hAnsi="Times New Roman" w:cs="Times New Roman"/>
          <w:sz w:val="24"/>
          <w:szCs w:val="24"/>
        </w:rPr>
      </w:pPr>
      <w:r>
        <w:rPr>
          <w:rFonts w:ascii="Times New Roman" w:hAnsi="Times New Roman" w:cs="Times New Roman"/>
          <w:sz w:val="24"/>
          <w:szCs w:val="24"/>
        </w:rPr>
        <w:t xml:space="preserve">In addition, an </w:t>
      </w:r>
      <w:r w:rsidRPr="00A529D1">
        <w:rPr>
          <w:rFonts w:ascii="Times New Roman" w:hAnsi="Times New Roman" w:cs="Times New Roman"/>
          <w:sz w:val="24"/>
          <w:szCs w:val="24"/>
        </w:rPr>
        <w:t>interpretation bias score (IB</w:t>
      </w:r>
      <w:r>
        <w:rPr>
          <w:rFonts w:ascii="Times New Roman" w:hAnsi="Times New Roman" w:cs="Times New Roman"/>
          <w:sz w:val="24"/>
          <w:szCs w:val="24"/>
          <w:vertAlign w:val="subscript"/>
        </w:rPr>
        <w:t>PB</w:t>
      </w:r>
      <w:r w:rsidRPr="00C714B3">
        <w:rPr>
          <w:rFonts w:ascii="Times New Roman" w:hAnsi="Times New Roman" w:cs="Times New Roman"/>
          <w:sz w:val="24"/>
          <w:szCs w:val="24"/>
          <w:vertAlign w:val="subscript"/>
        </w:rPr>
        <w:t>T</w:t>
      </w:r>
      <w:r w:rsidRPr="00A529D1">
        <w:rPr>
          <w:rFonts w:ascii="Times New Roman" w:hAnsi="Times New Roman" w:cs="Times New Roman"/>
          <w:sz w:val="24"/>
          <w:szCs w:val="24"/>
        </w:rPr>
        <w:t xml:space="preserve">) was calculated by </w:t>
      </w:r>
      <w:r w:rsidR="004B7808" w:rsidRPr="00040320">
        <w:rPr>
          <w:rFonts w:ascii="Times New Roman" w:hAnsi="Times New Roman" w:cs="Times New Roman"/>
          <w:sz w:val="24"/>
          <w:szCs w:val="24"/>
          <w:lang w:val="en-US"/>
        </w:rPr>
        <w:t xml:space="preserve">subtracting the </w:t>
      </w:r>
      <w:r w:rsidR="004B7808" w:rsidRPr="00A529D1">
        <w:rPr>
          <w:rFonts w:ascii="Times New Roman" w:hAnsi="Times New Roman" w:cs="Times New Roman"/>
          <w:sz w:val="24"/>
          <w:szCs w:val="24"/>
        </w:rPr>
        <w:t xml:space="preserve">mean </w:t>
      </w:r>
      <w:r w:rsidR="004B7808">
        <w:rPr>
          <w:rFonts w:ascii="Times New Roman" w:hAnsi="Times New Roman" w:cs="Times New Roman"/>
          <w:sz w:val="24"/>
          <w:szCs w:val="24"/>
        </w:rPr>
        <w:t xml:space="preserve">likelihood rating for </w:t>
      </w:r>
      <w:r w:rsidR="004B7808" w:rsidRPr="00A529D1">
        <w:rPr>
          <w:rFonts w:ascii="Times New Roman" w:hAnsi="Times New Roman" w:cs="Times New Roman"/>
          <w:sz w:val="24"/>
          <w:szCs w:val="24"/>
        </w:rPr>
        <w:t xml:space="preserve">positive </w:t>
      </w:r>
      <w:r w:rsidR="004B7808">
        <w:rPr>
          <w:rFonts w:ascii="Times New Roman" w:hAnsi="Times New Roman" w:cs="Times New Roman"/>
          <w:sz w:val="24"/>
          <w:szCs w:val="24"/>
        </w:rPr>
        <w:t>interpretations</w:t>
      </w:r>
      <w:r w:rsidR="004B7808" w:rsidRPr="00040320">
        <w:rPr>
          <w:rFonts w:ascii="Times New Roman" w:hAnsi="Times New Roman" w:cs="Times New Roman"/>
          <w:sz w:val="24"/>
          <w:szCs w:val="24"/>
          <w:lang w:val="en-US"/>
        </w:rPr>
        <w:t xml:space="preserve"> </w:t>
      </w:r>
      <w:r w:rsidR="004B7808">
        <w:rPr>
          <w:rFonts w:ascii="Times New Roman" w:hAnsi="Times New Roman" w:cs="Times New Roman"/>
          <w:sz w:val="24"/>
          <w:szCs w:val="24"/>
          <w:lang w:val="en-US"/>
        </w:rPr>
        <w:t>from</w:t>
      </w:r>
      <w:r w:rsidR="004B7808" w:rsidRPr="00040320">
        <w:rPr>
          <w:rFonts w:ascii="Times New Roman" w:hAnsi="Times New Roman" w:cs="Times New Roman"/>
          <w:sz w:val="24"/>
          <w:szCs w:val="24"/>
          <w:lang w:val="en-US"/>
        </w:rPr>
        <w:t xml:space="preserve"> the mean </w:t>
      </w:r>
      <w:r w:rsidR="004B7808">
        <w:rPr>
          <w:rFonts w:ascii="Times New Roman" w:hAnsi="Times New Roman" w:cs="Times New Roman"/>
          <w:sz w:val="24"/>
          <w:szCs w:val="24"/>
        </w:rPr>
        <w:t xml:space="preserve">likelihood rating for </w:t>
      </w:r>
      <w:r w:rsidR="004B7808" w:rsidRPr="00A529D1">
        <w:rPr>
          <w:rFonts w:ascii="Times New Roman" w:hAnsi="Times New Roman" w:cs="Times New Roman"/>
          <w:sz w:val="24"/>
          <w:szCs w:val="24"/>
        </w:rPr>
        <w:t xml:space="preserve">negative </w:t>
      </w:r>
      <w:r w:rsidR="004B7808">
        <w:rPr>
          <w:rFonts w:ascii="Times New Roman" w:hAnsi="Times New Roman" w:cs="Times New Roman"/>
          <w:sz w:val="24"/>
          <w:szCs w:val="24"/>
        </w:rPr>
        <w:t>interpretations</w:t>
      </w:r>
      <w:r w:rsidR="004B7808" w:rsidRPr="00A529D1">
        <w:rPr>
          <w:rFonts w:ascii="Times New Roman" w:hAnsi="Times New Roman" w:cs="Times New Roman"/>
          <w:sz w:val="24"/>
          <w:szCs w:val="24"/>
        </w:rPr>
        <w:t xml:space="preserve"> </w:t>
      </w:r>
      <w:r w:rsidRPr="00A529D1">
        <w:rPr>
          <w:rFonts w:ascii="Times New Roman" w:hAnsi="Times New Roman" w:cs="Times New Roman"/>
          <w:sz w:val="24"/>
          <w:szCs w:val="24"/>
        </w:rPr>
        <w:t xml:space="preserve">so that scores </w:t>
      </w:r>
      <w:r w:rsidR="004B7808">
        <w:rPr>
          <w:rFonts w:ascii="Times New Roman" w:hAnsi="Times New Roman" w:cs="Times New Roman"/>
          <w:sz w:val="24"/>
          <w:szCs w:val="24"/>
        </w:rPr>
        <w:t>&gt; 0</w:t>
      </w:r>
      <w:r w:rsidRPr="00A529D1">
        <w:rPr>
          <w:rFonts w:ascii="Times New Roman" w:hAnsi="Times New Roman" w:cs="Times New Roman"/>
          <w:sz w:val="24"/>
          <w:szCs w:val="24"/>
        </w:rPr>
        <w:t xml:space="preserve"> indicate a negative </w:t>
      </w:r>
      <w:r>
        <w:rPr>
          <w:rFonts w:ascii="Times New Roman" w:hAnsi="Times New Roman" w:cs="Times New Roman"/>
          <w:sz w:val="24"/>
          <w:szCs w:val="24"/>
        </w:rPr>
        <w:t>interpretation bias</w:t>
      </w:r>
      <w:r w:rsidRPr="00A529D1">
        <w:rPr>
          <w:rFonts w:ascii="Times New Roman" w:hAnsi="Times New Roman" w:cs="Times New Roman"/>
          <w:sz w:val="24"/>
          <w:szCs w:val="24"/>
        </w:rPr>
        <w:t xml:space="preserve"> and scores </w:t>
      </w:r>
      <w:r w:rsidR="004B7808">
        <w:rPr>
          <w:rFonts w:ascii="Times New Roman" w:hAnsi="Times New Roman" w:cs="Times New Roman"/>
          <w:sz w:val="24"/>
          <w:szCs w:val="24"/>
        </w:rPr>
        <w:t>&lt; 0</w:t>
      </w:r>
      <w:r w:rsidRPr="00A529D1">
        <w:rPr>
          <w:rFonts w:ascii="Times New Roman" w:hAnsi="Times New Roman" w:cs="Times New Roman"/>
          <w:sz w:val="24"/>
          <w:szCs w:val="24"/>
        </w:rPr>
        <w:t xml:space="preserve"> indicate a positive </w:t>
      </w:r>
      <w:r>
        <w:rPr>
          <w:rFonts w:ascii="Times New Roman" w:hAnsi="Times New Roman" w:cs="Times New Roman"/>
          <w:sz w:val="24"/>
          <w:szCs w:val="24"/>
        </w:rPr>
        <w:t xml:space="preserve">interpretation bias (analogous to the </w:t>
      </w:r>
      <w:r w:rsidRPr="00A529D1">
        <w:rPr>
          <w:rFonts w:ascii="Times New Roman" w:hAnsi="Times New Roman" w:cs="Times New Roman"/>
          <w:sz w:val="24"/>
          <w:szCs w:val="24"/>
        </w:rPr>
        <w:t>IB</w:t>
      </w:r>
      <w:r>
        <w:rPr>
          <w:rFonts w:ascii="Times New Roman" w:hAnsi="Times New Roman" w:cs="Times New Roman"/>
          <w:sz w:val="24"/>
          <w:szCs w:val="24"/>
          <w:vertAlign w:val="subscript"/>
        </w:rPr>
        <w:t>AS</w:t>
      </w:r>
      <w:r w:rsidRPr="00C714B3">
        <w:rPr>
          <w:rFonts w:ascii="Times New Roman" w:hAnsi="Times New Roman" w:cs="Times New Roman"/>
          <w:sz w:val="24"/>
          <w:szCs w:val="24"/>
          <w:vertAlign w:val="subscript"/>
        </w:rPr>
        <w:t>T</w:t>
      </w:r>
      <w:r>
        <w:rPr>
          <w:rFonts w:ascii="Times New Roman" w:hAnsi="Times New Roman" w:cs="Times New Roman"/>
          <w:sz w:val="24"/>
          <w:szCs w:val="24"/>
        </w:rPr>
        <w:t xml:space="preserve"> score). A </w:t>
      </w:r>
      <w:r w:rsidR="003D1857">
        <w:rPr>
          <w:rFonts w:ascii="Times New Roman" w:hAnsi="Times New Roman" w:cs="Times New Roman"/>
          <w:sz w:val="24"/>
          <w:szCs w:val="24"/>
          <w:lang w:val="en-US"/>
        </w:rPr>
        <w:t xml:space="preserve">one-way </w:t>
      </w:r>
      <w:r w:rsidR="003D1857" w:rsidRPr="00040320">
        <w:rPr>
          <w:rFonts w:ascii="Times New Roman" w:hAnsi="Times New Roman" w:cs="Times New Roman"/>
          <w:sz w:val="24"/>
          <w:szCs w:val="24"/>
          <w:lang w:val="en-US"/>
        </w:rPr>
        <w:t>ANOVA</w:t>
      </w:r>
      <w:r w:rsidR="003D1857">
        <w:rPr>
          <w:rFonts w:ascii="Times New Roman" w:hAnsi="Times New Roman" w:cs="Times New Roman"/>
          <w:sz w:val="24"/>
          <w:szCs w:val="24"/>
          <w:lang w:val="en-US"/>
        </w:rPr>
        <w:t xml:space="preserve"> </w:t>
      </w:r>
      <w:r>
        <w:rPr>
          <w:rFonts w:ascii="Times New Roman" w:hAnsi="Times New Roman" w:cs="Times New Roman"/>
          <w:sz w:val="24"/>
          <w:szCs w:val="24"/>
        </w:rPr>
        <w:t xml:space="preserve">was calculated to </w:t>
      </w:r>
      <w:r w:rsidR="007458C1">
        <w:rPr>
          <w:rFonts w:ascii="Times New Roman" w:hAnsi="Times New Roman" w:cs="Times New Roman"/>
          <w:sz w:val="24"/>
          <w:szCs w:val="24"/>
        </w:rPr>
        <w:t>assess group differences</w:t>
      </w:r>
      <w:r>
        <w:rPr>
          <w:rFonts w:ascii="Times New Roman" w:hAnsi="Times New Roman" w:cs="Times New Roman"/>
          <w:sz w:val="24"/>
          <w:szCs w:val="24"/>
        </w:rPr>
        <w:t xml:space="preserve"> the </w:t>
      </w:r>
      <w:r w:rsidRPr="00A529D1">
        <w:rPr>
          <w:rFonts w:ascii="Times New Roman" w:hAnsi="Times New Roman" w:cs="Times New Roman"/>
          <w:sz w:val="24"/>
          <w:szCs w:val="24"/>
        </w:rPr>
        <w:t>IB</w:t>
      </w:r>
      <w:r>
        <w:rPr>
          <w:rFonts w:ascii="Times New Roman" w:hAnsi="Times New Roman" w:cs="Times New Roman"/>
          <w:sz w:val="24"/>
          <w:szCs w:val="24"/>
          <w:vertAlign w:val="subscript"/>
        </w:rPr>
        <w:t>PB</w:t>
      </w:r>
      <w:r w:rsidRPr="00C714B3">
        <w:rPr>
          <w:rFonts w:ascii="Times New Roman" w:hAnsi="Times New Roman" w:cs="Times New Roman"/>
          <w:sz w:val="24"/>
          <w:szCs w:val="24"/>
          <w:vertAlign w:val="subscript"/>
        </w:rPr>
        <w:t>T</w:t>
      </w:r>
      <w:r>
        <w:rPr>
          <w:rFonts w:ascii="Times New Roman" w:hAnsi="Times New Roman" w:cs="Times New Roman"/>
          <w:sz w:val="24"/>
          <w:szCs w:val="24"/>
        </w:rPr>
        <w:t xml:space="preserve"> and correlations between </w:t>
      </w:r>
      <w:r w:rsidRPr="00A529D1">
        <w:rPr>
          <w:rFonts w:ascii="Times New Roman" w:hAnsi="Times New Roman" w:cs="Times New Roman"/>
          <w:sz w:val="24"/>
          <w:szCs w:val="24"/>
        </w:rPr>
        <w:t>IB</w:t>
      </w:r>
      <w:r>
        <w:rPr>
          <w:rFonts w:ascii="Times New Roman" w:hAnsi="Times New Roman" w:cs="Times New Roman"/>
          <w:sz w:val="24"/>
          <w:szCs w:val="24"/>
          <w:vertAlign w:val="subscript"/>
        </w:rPr>
        <w:t>PB</w:t>
      </w:r>
      <w:r w:rsidRPr="00C714B3">
        <w:rPr>
          <w:rFonts w:ascii="Times New Roman" w:hAnsi="Times New Roman" w:cs="Times New Roman"/>
          <w:sz w:val="24"/>
          <w:szCs w:val="24"/>
          <w:vertAlign w:val="subscript"/>
        </w:rPr>
        <w:t>T</w:t>
      </w:r>
      <w:r>
        <w:rPr>
          <w:rFonts w:ascii="Times New Roman" w:hAnsi="Times New Roman" w:cs="Times New Roman"/>
          <w:sz w:val="24"/>
          <w:szCs w:val="24"/>
        </w:rPr>
        <w:t xml:space="preserve"> and depression as well as anxiety scores were </w:t>
      </w:r>
      <w:r w:rsidR="00D32BAB">
        <w:rPr>
          <w:rFonts w:ascii="Times New Roman" w:hAnsi="Times New Roman" w:cs="Times New Roman"/>
          <w:sz w:val="24"/>
          <w:szCs w:val="24"/>
        </w:rPr>
        <w:t>computed</w:t>
      </w:r>
      <w:r>
        <w:rPr>
          <w:rFonts w:ascii="Times New Roman" w:hAnsi="Times New Roman" w:cs="Times New Roman"/>
          <w:sz w:val="24"/>
          <w:szCs w:val="24"/>
        </w:rPr>
        <w:t>.</w:t>
      </w:r>
    </w:p>
    <w:p w14:paraId="59819A65" w14:textId="77777777" w:rsidR="00967FB7" w:rsidRPr="002D2FAE" w:rsidRDefault="00967FB7" w:rsidP="005562B5">
      <w:pPr>
        <w:spacing w:line="360" w:lineRule="auto"/>
        <w:rPr>
          <w:rFonts w:ascii="Times New Roman" w:hAnsi="Times New Roman" w:cs="Times New Roman"/>
          <w:b/>
          <w:sz w:val="24"/>
          <w:szCs w:val="24"/>
        </w:rPr>
      </w:pPr>
      <w:r w:rsidRPr="002D2FAE">
        <w:rPr>
          <w:rFonts w:ascii="Times New Roman" w:hAnsi="Times New Roman" w:cs="Times New Roman"/>
          <w:b/>
          <w:sz w:val="24"/>
          <w:szCs w:val="24"/>
        </w:rPr>
        <w:lastRenderedPageBreak/>
        <w:t>Results</w:t>
      </w:r>
    </w:p>
    <w:p w14:paraId="5C0CF44C" w14:textId="6F2102E7" w:rsidR="00967FB7" w:rsidRDefault="00967FB7" w:rsidP="005562B5">
      <w:pPr>
        <w:spacing w:line="360" w:lineRule="auto"/>
        <w:rPr>
          <w:rFonts w:ascii="Times New Roman" w:hAnsi="Times New Roman" w:cs="Times New Roman"/>
          <w:sz w:val="24"/>
          <w:szCs w:val="24"/>
        </w:rPr>
      </w:pPr>
      <w:r>
        <w:rPr>
          <w:rFonts w:ascii="Times New Roman" w:hAnsi="Times New Roman" w:cs="Times New Roman"/>
          <w:sz w:val="24"/>
          <w:szCs w:val="24"/>
        </w:rPr>
        <w:t xml:space="preserve">The ANOVA yielded a significant main effect of </w:t>
      </w:r>
      <w:proofErr w:type="spellStart"/>
      <w:r w:rsidRPr="009369A1">
        <w:rPr>
          <w:rFonts w:ascii="Times New Roman" w:hAnsi="Times New Roman" w:cs="Times New Roman"/>
          <w:smallCaps/>
          <w:sz w:val="24"/>
          <w:szCs w:val="24"/>
        </w:rPr>
        <w:t>InterpretationType</w:t>
      </w:r>
      <w:proofErr w:type="spellEnd"/>
      <w:r>
        <w:rPr>
          <w:rFonts w:ascii="Times New Roman" w:hAnsi="Times New Roman" w:cs="Times New Roman"/>
          <w:sz w:val="24"/>
          <w:szCs w:val="24"/>
        </w:rPr>
        <w:t xml:space="preserve"> (</w:t>
      </w:r>
      <w:r w:rsidRPr="002D2FAE">
        <w:rPr>
          <w:rFonts w:ascii="Times New Roman" w:hAnsi="Times New Roman" w:cs="Times New Roman"/>
          <w:i/>
          <w:sz w:val="24"/>
          <w:szCs w:val="24"/>
        </w:rPr>
        <w:t>F</w:t>
      </w:r>
      <w:r w:rsidR="00794A11">
        <w:rPr>
          <w:rFonts w:ascii="Times New Roman" w:hAnsi="Times New Roman" w:cs="Times New Roman"/>
          <w:sz w:val="24"/>
          <w:szCs w:val="24"/>
          <w:vertAlign w:val="subscript"/>
        </w:rPr>
        <w:t>1.4</w:t>
      </w:r>
      <w:proofErr w:type="gramStart"/>
      <w:r w:rsidR="00794A11">
        <w:rPr>
          <w:rFonts w:ascii="Times New Roman" w:hAnsi="Times New Roman" w:cs="Times New Roman"/>
          <w:sz w:val="24"/>
          <w:szCs w:val="24"/>
          <w:vertAlign w:val="subscript"/>
        </w:rPr>
        <w:t>,1</w:t>
      </w:r>
      <w:r w:rsidRPr="002D2FAE">
        <w:rPr>
          <w:rFonts w:ascii="Times New Roman" w:hAnsi="Times New Roman" w:cs="Times New Roman"/>
          <w:sz w:val="24"/>
          <w:szCs w:val="24"/>
          <w:vertAlign w:val="subscript"/>
        </w:rPr>
        <w:t>6</w:t>
      </w:r>
      <w:r w:rsidR="00794A11">
        <w:rPr>
          <w:rFonts w:ascii="Times New Roman" w:hAnsi="Times New Roman" w:cs="Times New Roman"/>
          <w:sz w:val="24"/>
          <w:szCs w:val="24"/>
          <w:vertAlign w:val="subscript"/>
        </w:rPr>
        <w:t>5.7</w:t>
      </w:r>
      <w:proofErr w:type="gramEnd"/>
      <w:r w:rsidR="00794A11">
        <w:rPr>
          <w:rFonts w:ascii="Times New Roman" w:hAnsi="Times New Roman" w:cs="Times New Roman"/>
          <w:sz w:val="24"/>
          <w:szCs w:val="24"/>
        </w:rPr>
        <w:t xml:space="preserve"> = 32.3</w:t>
      </w:r>
      <w:r w:rsidR="00EA7BAA">
        <w:rPr>
          <w:rFonts w:ascii="Times New Roman" w:hAnsi="Times New Roman" w:cs="Times New Roman"/>
          <w:sz w:val="24"/>
          <w:szCs w:val="24"/>
        </w:rPr>
        <w:t>,</w:t>
      </w:r>
      <w:r>
        <w:rPr>
          <w:rFonts w:ascii="Times New Roman" w:hAnsi="Times New Roman" w:cs="Times New Roman"/>
          <w:sz w:val="24"/>
          <w:szCs w:val="24"/>
        </w:rPr>
        <w:t xml:space="preserve"> </w:t>
      </w:r>
      <w:r w:rsidRPr="002D2FAE">
        <w:rPr>
          <w:rFonts w:ascii="Times New Roman" w:hAnsi="Times New Roman" w:cs="Times New Roman"/>
          <w:i/>
          <w:sz w:val="24"/>
          <w:szCs w:val="24"/>
        </w:rPr>
        <w:t>p</w:t>
      </w:r>
      <w:r>
        <w:rPr>
          <w:rFonts w:ascii="Times New Roman" w:hAnsi="Times New Roman" w:cs="Times New Roman"/>
          <w:sz w:val="24"/>
          <w:szCs w:val="24"/>
        </w:rPr>
        <w:t xml:space="preserve"> &lt; .001</w:t>
      </w:r>
      <w:r w:rsidR="00EA7BAA">
        <w:rPr>
          <w:rFonts w:ascii="Times New Roman" w:hAnsi="Times New Roman" w:cs="Times New Roman"/>
          <w:sz w:val="24"/>
          <w:szCs w:val="24"/>
        </w:rPr>
        <w:t>,</w:t>
      </w:r>
      <w:r w:rsidR="00794A11">
        <w:rPr>
          <w:rFonts w:ascii="Times New Roman" w:hAnsi="Times New Roman" w:cs="Times New Roman"/>
          <w:sz w:val="24"/>
          <w:szCs w:val="24"/>
        </w:rPr>
        <w:t xml:space="preserve"> </w:t>
      </w:r>
      <w:r w:rsidR="00794A11" w:rsidRPr="00040320">
        <w:rPr>
          <w:rFonts w:ascii="Times New Roman" w:hAnsi="Times New Roman" w:cs="Times New Roman"/>
          <w:i/>
          <w:sz w:val="24"/>
          <w:szCs w:val="24"/>
          <w:lang w:val="en-US"/>
        </w:rPr>
        <w:t>η</w:t>
      </w:r>
      <w:r w:rsidR="009142E1" w:rsidRPr="009142E1">
        <w:rPr>
          <w:rFonts w:ascii="Times New Roman" w:hAnsi="Times New Roman" w:cs="Times New Roman"/>
          <w:i/>
          <w:sz w:val="24"/>
          <w:szCs w:val="24"/>
          <w:vertAlign w:val="subscript"/>
          <w:lang w:val="en-US"/>
        </w:rPr>
        <w:t>p</w:t>
      </w:r>
      <w:r w:rsidR="00794A11" w:rsidRPr="00040320">
        <w:rPr>
          <w:rFonts w:ascii="Times New Roman" w:hAnsi="Times New Roman" w:cs="Times New Roman"/>
          <w:i/>
          <w:sz w:val="24"/>
          <w:szCs w:val="24"/>
          <w:lang w:val="en-US"/>
        </w:rPr>
        <w:t>²</w:t>
      </w:r>
      <w:r w:rsidR="00794A11">
        <w:rPr>
          <w:rFonts w:ascii="Times New Roman" w:hAnsi="Times New Roman" w:cs="Times New Roman"/>
          <w:sz w:val="24"/>
          <w:szCs w:val="24"/>
          <w:lang w:val="en-US"/>
        </w:rPr>
        <w:t xml:space="preserve"> = .22</w:t>
      </w:r>
      <w:r>
        <w:rPr>
          <w:rFonts w:ascii="Times New Roman" w:hAnsi="Times New Roman" w:cs="Times New Roman"/>
          <w:sz w:val="24"/>
          <w:szCs w:val="24"/>
        </w:rPr>
        <w:t>) resulting from positive interpretations being rated as less likely to occur than negative and unrelated interpretations (see Supplementary Figure 1)</w:t>
      </w:r>
      <w:r w:rsidR="00794A11">
        <w:rPr>
          <w:rFonts w:ascii="Times New Roman" w:hAnsi="Times New Roman" w:cs="Times New Roman"/>
          <w:sz w:val="24"/>
          <w:szCs w:val="24"/>
        </w:rPr>
        <w:t xml:space="preserve">. The main effect of </w:t>
      </w:r>
      <w:r w:rsidR="00794A11" w:rsidRPr="009369A1">
        <w:rPr>
          <w:rFonts w:ascii="Times New Roman" w:hAnsi="Times New Roman" w:cs="Times New Roman"/>
          <w:smallCaps/>
          <w:sz w:val="24"/>
          <w:szCs w:val="24"/>
        </w:rPr>
        <w:t>Group</w:t>
      </w:r>
      <w:r w:rsidR="00794A11">
        <w:rPr>
          <w:rFonts w:ascii="Times New Roman" w:hAnsi="Times New Roman" w:cs="Times New Roman"/>
          <w:sz w:val="24"/>
          <w:szCs w:val="24"/>
        </w:rPr>
        <w:t xml:space="preserve"> (</w:t>
      </w:r>
      <w:r w:rsidR="00794A11" w:rsidRPr="002D2FAE">
        <w:rPr>
          <w:rFonts w:ascii="Times New Roman" w:hAnsi="Times New Roman" w:cs="Times New Roman"/>
          <w:i/>
          <w:sz w:val="24"/>
          <w:szCs w:val="24"/>
        </w:rPr>
        <w:t>F</w:t>
      </w:r>
      <w:r w:rsidR="00794A11">
        <w:rPr>
          <w:rFonts w:ascii="Times New Roman" w:hAnsi="Times New Roman" w:cs="Times New Roman"/>
          <w:sz w:val="24"/>
          <w:szCs w:val="24"/>
          <w:vertAlign w:val="subscript"/>
        </w:rPr>
        <w:t>2</w:t>
      </w:r>
      <w:proofErr w:type="gramStart"/>
      <w:r w:rsidR="00794A11">
        <w:rPr>
          <w:rFonts w:ascii="Times New Roman" w:hAnsi="Times New Roman" w:cs="Times New Roman"/>
          <w:sz w:val="24"/>
          <w:szCs w:val="24"/>
          <w:vertAlign w:val="subscript"/>
        </w:rPr>
        <w:t>,118</w:t>
      </w:r>
      <w:proofErr w:type="gramEnd"/>
      <w:r w:rsidR="00794A11">
        <w:rPr>
          <w:rFonts w:ascii="Times New Roman" w:hAnsi="Times New Roman" w:cs="Times New Roman"/>
          <w:sz w:val="24"/>
          <w:szCs w:val="24"/>
        </w:rPr>
        <w:t xml:space="preserve"> = 1.5</w:t>
      </w:r>
      <w:r w:rsidR="00EA7BAA">
        <w:rPr>
          <w:rFonts w:ascii="Times New Roman" w:hAnsi="Times New Roman" w:cs="Times New Roman"/>
          <w:sz w:val="24"/>
          <w:szCs w:val="24"/>
        </w:rPr>
        <w:t>,</w:t>
      </w:r>
      <w:r w:rsidR="00794A11">
        <w:rPr>
          <w:rFonts w:ascii="Times New Roman" w:hAnsi="Times New Roman" w:cs="Times New Roman"/>
          <w:sz w:val="24"/>
          <w:szCs w:val="24"/>
        </w:rPr>
        <w:t xml:space="preserve"> </w:t>
      </w:r>
      <w:r w:rsidR="00794A11" w:rsidRPr="002D2FAE">
        <w:rPr>
          <w:rFonts w:ascii="Times New Roman" w:hAnsi="Times New Roman" w:cs="Times New Roman"/>
          <w:i/>
          <w:sz w:val="24"/>
          <w:szCs w:val="24"/>
        </w:rPr>
        <w:t>p</w:t>
      </w:r>
      <w:r w:rsidR="00794A11">
        <w:rPr>
          <w:rFonts w:ascii="Times New Roman" w:hAnsi="Times New Roman" w:cs="Times New Roman"/>
          <w:sz w:val="24"/>
          <w:szCs w:val="24"/>
        </w:rPr>
        <w:t xml:space="preserve"> &gt; .1) as well as </w:t>
      </w:r>
      <w:proofErr w:type="spellStart"/>
      <w:r w:rsidR="00794A11" w:rsidRPr="009369A1">
        <w:rPr>
          <w:rFonts w:ascii="Times New Roman" w:hAnsi="Times New Roman" w:cs="Times New Roman"/>
          <w:smallCaps/>
          <w:sz w:val="24"/>
          <w:szCs w:val="24"/>
        </w:rPr>
        <w:t>InterpretationType</w:t>
      </w:r>
      <w:proofErr w:type="spellEnd"/>
      <w:r w:rsidR="00794A11">
        <w:rPr>
          <w:rFonts w:ascii="Times New Roman" w:hAnsi="Times New Roman" w:cs="Times New Roman"/>
          <w:sz w:val="24"/>
          <w:szCs w:val="24"/>
        </w:rPr>
        <w:t xml:space="preserve"> × </w:t>
      </w:r>
      <w:r w:rsidR="00794A11" w:rsidRPr="009369A1">
        <w:rPr>
          <w:rFonts w:ascii="Times New Roman" w:hAnsi="Times New Roman" w:cs="Times New Roman"/>
          <w:smallCaps/>
          <w:sz w:val="24"/>
          <w:szCs w:val="24"/>
        </w:rPr>
        <w:t>Group</w:t>
      </w:r>
      <w:r w:rsidR="00794A11">
        <w:rPr>
          <w:rFonts w:ascii="Times New Roman" w:hAnsi="Times New Roman" w:cs="Times New Roman"/>
          <w:sz w:val="24"/>
          <w:szCs w:val="24"/>
        </w:rPr>
        <w:t xml:space="preserve"> (</w:t>
      </w:r>
      <w:r w:rsidR="00794A11" w:rsidRPr="002D2FAE">
        <w:rPr>
          <w:rFonts w:ascii="Times New Roman" w:hAnsi="Times New Roman" w:cs="Times New Roman"/>
          <w:i/>
          <w:sz w:val="24"/>
          <w:szCs w:val="24"/>
        </w:rPr>
        <w:t>F</w:t>
      </w:r>
      <w:r w:rsidR="00794A11">
        <w:rPr>
          <w:rFonts w:ascii="Times New Roman" w:hAnsi="Times New Roman" w:cs="Times New Roman"/>
          <w:sz w:val="24"/>
          <w:szCs w:val="24"/>
          <w:vertAlign w:val="subscript"/>
        </w:rPr>
        <w:t>1.4,1</w:t>
      </w:r>
      <w:r w:rsidR="00794A11" w:rsidRPr="002D2FAE">
        <w:rPr>
          <w:rFonts w:ascii="Times New Roman" w:hAnsi="Times New Roman" w:cs="Times New Roman"/>
          <w:sz w:val="24"/>
          <w:szCs w:val="24"/>
          <w:vertAlign w:val="subscript"/>
        </w:rPr>
        <w:t>6</w:t>
      </w:r>
      <w:r w:rsidR="00794A11">
        <w:rPr>
          <w:rFonts w:ascii="Times New Roman" w:hAnsi="Times New Roman" w:cs="Times New Roman"/>
          <w:sz w:val="24"/>
          <w:szCs w:val="24"/>
          <w:vertAlign w:val="subscript"/>
        </w:rPr>
        <w:t>5.7</w:t>
      </w:r>
      <w:r w:rsidR="00794A11">
        <w:rPr>
          <w:rFonts w:ascii="Times New Roman" w:hAnsi="Times New Roman" w:cs="Times New Roman"/>
          <w:sz w:val="24"/>
          <w:szCs w:val="24"/>
        </w:rPr>
        <w:t xml:space="preserve"> = 2.2</w:t>
      </w:r>
      <w:r w:rsidR="00EA7BAA">
        <w:rPr>
          <w:rFonts w:ascii="Times New Roman" w:hAnsi="Times New Roman" w:cs="Times New Roman"/>
          <w:sz w:val="24"/>
          <w:szCs w:val="24"/>
        </w:rPr>
        <w:t>,</w:t>
      </w:r>
      <w:r w:rsidR="00794A11">
        <w:rPr>
          <w:rFonts w:ascii="Times New Roman" w:hAnsi="Times New Roman" w:cs="Times New Roman"/>
          <w:sz w:val="24"/>
          <w:szCs w:val="24"/>
        </w:rPr>
        <w:t xml:space="preserve"> </w:t>
      </w:r>
      <w:r w:rsidR="00794A11" w:rsidRPr="002D2FAE">
        <w:rPr>
          <w:rFonts w:ascii="Times New Roman" w:hAnsi="Times New Roman" w:cs="Times New Roman"/>
          <w:i/>
          <w:sz w:val="24"/>
          <w:szCs w:val="24"/>
        </w:rPr>
        <w:t>p</w:t>
      </w:r>
      <w:r w:rsidR="00794A11">
        <w:rPr>
          <w:rFonts w:ascii="Times New Roman" w:hAnsi="Times New Roman" w:cs="Times New Roman"/>
          <w:sz w:val="24"/>
          <w:szCs w:val="24"/>
        </w:rPr>
        <w:t xml:space="preserve"> = .091) were non-significant.</w:t>
      </w:r>
      <w:r>
        <w:rPr>
          <w:rFonts w:ascii="Times New Roman" w:hAnsi="Times New Roman" w:cs="Times New Roman"/>
          <w:sz w:val="24"/>
          <w:szCs w:val="24"/>
        </w:rPr>
        <w:t xml:space="preserve"> </w:t>
      </w:r>
    </w:p>
    <w:p w14:paraId="7804FF1E" w14:textId="27DCA40C" w:rsidR="00967FB7" w:rsidRDefault="00794A11" w:rsidP="005562B5">
      <w:pPr>
        <w:keepNext/>
        <w:spacing w:line="360" w:lineRule="auto"/>
        <w:rPr>
          <w:rFonts w:ascii="Times New Roman" w:hAnsi="Times New Roman" w:cs="Times New Roman"/>
          <w:sz w:val="20"/>
          <w:szCs w:val="20"/>
        </w:rPr>
      </w:pPr>
      <w:r>
        <w:rPr>
          <w:noProof/>
          <w:lang w:val="de-DE" w:eastAsia="de-DE"/>
        </w:rPr>
        <w:drawing>
          <wp:inline distT="0" distB="0" distL="0" distR="0" wp14:anchorId="568E1BED" wp14:editId="54B8C02D">
            <wp:extent cx="4572000" cy="2743200"/>
            <wp:effectExtent l="0" t="0" r="19050" b="19050"/>
            <wp:docPr id="1" name="Diagram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967FB7">
        <w:br/>
      </w:r>
      <w:r w:rsidR="00967FB7" w:rsidRPr="002D2FAE">
        <w:rPr>
          <w:rFonts w:ascii="Times New Roman" w:hAnsi="Times New Roman" w:cs="Times New Roman"/>
          <w:b/>
          <w:sz w:val="20"/>
          <w:szCs w:val="20"/>
        </w:rPr>
        <w:t>Supplementary Figure 1:</w:t>
      </w:r>
      <w:r w:rsidR="00967FB7" w:rsidRPr="002D2FAE">
        <w:rPr>
          <w:rFonts w:ascii="Times New Roman" w:hAnsi="Times New Roman" w:cs="Times New Roman"/>
          <w:sz w:val="20"/>
          <w:szCs w:val="20"/>
        </w:rPr>
        <w:t xml:space="preserve"> </w:t>
      </w:r>
      <w:r w:rsidR="00785896">
        <w:rPr>
          <w:rFonts w:ascii="Times New Roman" w:hAnsi="Times New Roman" w:cs="Times New Roman"/>
          <w:sz w:val="20"/>
          <w:szCs w:val="20"/>
        </w:rPr>
        <w:t>Mean likelihood ratings for the three interpretation types. E</w:t>
      </w:r>
      <w:r w:rsidR="000159AC">
        <w:rPr>
          <w:rFonts w:ascii="Times New Roman" w:hAnsi="Times New Roman" w:cs="Times New Roman"/>
          <w:sz w:val="20"/>
          <w:szCs w:val="20"/>
        </w:rPr>
        <w:t>rror bars represent standard deviations.</w:t>
      </w:r>
    </w:p>
    <w:p w14:paraId="6132099A" w14:textId="559A75C8" w:rsidR="007458C1" w:rsidRPr="007458C1" w:rsidRDefault="00967FB7" w:rsidP="005562B5">
      <w:pPr>
        <w:autoSpaceDE w:val="0"/>
        <w:autoSpaceDN w:val="0"/>
        <w:adjustRightInd w:val="0"/>
        <w:spacing w:line="360" w:lineRule="auto"/>
        <w:rPr>
          <w:rFonts w:ascii="Times New Roman" w:hAnsi="Times New Roman" w:cs="Times New Roman"/>
          <w:sz w:val="24"/>
          <w:szCs w:val="24"/>
          <w:lang w:val="en-US"/>
        </w:rPr>
      </w:pPr>
      <w:r w:rsidRPr="0077473E">
        <w:rPr>
          <w:rFonts w:ascii="Times New Roman" w:hAnsi="Times New Roman" w:cs="Times New Roman"/>
          <w:sz w:val="24"/>
          <w:szCs w:val="24"/>
        </w:rPr>
        <w:t>IB</w:t>
      </w:r>
      <w:r>
        <w:rPr>
          <w:rFonts w:ascii="Times New Roman" w:hAnsi="Times New Roman" w:cs="Times New Roman"/>
          <w:sz w:val="24"/>
          <w:szCs w:val="24"/>
          <w:vertAlign w:val="subscript"/>
        </w:rPr>
        <w:t>P</w:t>
      </w:r>
      <w:r w:rsidR="00951493">
        <w:rPr>
          <w:rFonts w:ascii="Times New Roman" w:hAnsi="Times New Roman" w:cs="Times New Roman"/>
          <w:sz w:val="24"/>
          <w:szCs w:val="24"/>
          <w:vertAlign w:val="subscript"/>
        </w:rPr>
        <w:t>B</w:t>
      </w:r>
      <w:r w:rsidRPr="0077473E">
        <w:rPr>
          <w:rFonts w:ascii="Times New Roman" w:hAnsi="Times New Roman" w:cs="Times New Roman"/>
          <w:sz w:val="24"/>
          <w:szCs w:val="24"/>
          <w:vertAlign w:val="subscript"/>
        </w:rPr>
        <w:t>T</w:t>
      </w:r>
      <w:r>
        <w:rPr>
          <w:rFonts w:ascii="Times New Roman" w:hAnsi="Times New Roman" w:cs="Times New Roman"/>
          <w:i/>
          <w:sz w:val="24"/>
          <w:szCs w:val="24"/>
        </w:rPr>
        <w:t xml:space="preserve"> </w:t>
      </w:r>
      <w:r w:rsidRPr="000B1EF9">
        <w:rPr>
          <w:rFonts w:ascii="Times New Roman" w:hAnsi="Times New Roman" w:cs="Times New Roman"/>
          <w:sz w:val="24"/>
          <w:szCs w:val="24"/>
        </w:rPr>
        <w:t>scores</w:t>
      </w:r>
      <w:r>
        <w:rPr>
          <w:rFonts w:ascii="Times New Roman" w:hAnsi="Times New Roman" w:cs="Times New Roman"/>
          <w:sz w:val="24"/>
          <w:szCs w:val="24"/>
        </w:rPr>
        <w:t xml:space="preserve"> were </w:t>
      </w:r>
      <w:r w:rsidR="001E7995">
        <w:rPr>
          <w:rFonts w:ascii="Times New Roman" w:hAnsi="Times New Roman" w:cs="Times New Roman"/>
          <w:sz w:val="24"/>
          <w:szCs w:val="24"/>
        </w:rPr>
        <w:t xml:space="preserve">significantly </w:t>
      </w:r>
      <w:r w:rsidR="004B7808">
        <w:rPr>
          <w:rFonts w:ascii="Times New Roman" w:hAnsi="Times New Roman" w:cs="Times New Roman"/>
          <w:sz w:val="24"/>
          <w:szCs w:val="24"/>
        </w:rPr>
        <w:t>&gt; 0</w:t>
      </w:r>
      <w:r>
        <w:rPr>
          <w:rFonts w:ascii="Times New Roman" w:hAnsi="Times New Roman" w:cs="Times New Roman"/>
          <w:sz w:val="24"/>
          <w:szCs w:val="24"/>
        </w:rPr>
        <w:t xml:space="preserve"> (</w:t>
      </w:r>
      <w:r w:rsidR="00965CFF">
        <w:rPr>
          <w:rFonts w:ascii="Times New Roman" w:hAnsi="Times New Roman" w:cs="Times New Roman"/>
          <w:sz w:val="24"/>
          <w:szCs w:val="24"/>
        </w:rPr>
        <w:t xml:space="preserve">MD: </w:t>
      </w:r>
      <w:r w:rsidR="00965CFF" w:rsidRPr="000B1EF9">
        <w:rPr>
          <w:rFonts w:ascii="Times New Roman" w:hAnsi="Times New Roman" w:cs="Times New Roman"/>
          <w:i/>
          <w:sz w:val="24"/>
          <w:szCs w:val="24"/>
        </w:rPr>
        <w:t>M</w:t>
      </w:r>
      <w:r w:rsidR="00965CFF">
        <w:rPr>
          <w:rFonts w:ascii="Times New Roman" w:hAnsi="Times New Roman" w:cs="Times New Roman"/>
          <w:sz w:val="24"/>
          <w:szCs w:val="24"/>
        </w:rPr>
        <w:t xml:space="preserve"> = </w:t>
      </w:r>
      <w:r w:rsidR="004B7808">
        <w:rPr>
          <w:rFonts w:ascii="Times New Roman" w:hAnsi="Times New Roman" w:cs="Times New Roman"/>
          <w:sz w:val="24"/>
          <w:szCs w:val="24"/>
        </w:rPr>
        <w:t>1.5</w:t>
      </w:r>
      <w:r w:rsidR="00965CFF">
        <w:rPr>
          <w:rFonts w:ascii="Times New Roman" w:hAnsi="Times New Roman" w:cs="Times New Roman"/>
          <w:sz w:val="24"/>
          <w:szCs w:val="24"/>
        </w:rPr>
        <w:t xml:space="preserve">, </w:t>
      </w:r>
      <w:r w:rsidR="00965CFF" w:rsidRPr="000B1EF9">
        <w:rPr>
          <w:rFonts w:ascii="Times New Roman" w:hAnsi="Times New Roman" w:cs="Times New Roman"/>
          <w:i/>
          <w:sz w:val="24"/>
          <w:szCs w:val="24"/>
        </w:rPr>
        <w:t>SD</w:t>
      </w:r>
      <w:r w:rsidR="00965CFF">
        <w:rPr>
          <w:rFonts w:ascii="Times New Roman" w:hAnsi="Times New Roman" w:cs="Times New Roman"/>
          <w:sz w:val="24"/>
          <w:szCs w:val="24"/>
        </w:rPr>
        <w:t xml:space="preserve"> = </w:t>
      </w:r>
      <w:r w:rsidR="004B7808">
        <w:rPr>
          <w:rFonts w:ascii="Times New Roman" w:hAnsi="Times New Roman" w:cs="Times New Roman"/>
          <w:sz w:val="24"/>
          <w:szCs w:val="24"/>
        </w:rPr>
        <w:t>1.7</w:t>
      </w:r>
      <w:r w:rsidR="00965CFF">
        <w:rPr>
          <w:rFonts w:ascii="Times New Roman" w:hAnsi="Times New Roman" w:cs="Times New Roman"/>
          <w:sz w:val="24"/>
          <w:szCs w:val="24"/>
        </w:rPr>
        <w:t xml:space="preserve">; </w:t>
      </w:r>
      <w:r>
        <w:rPr>
          <w:rFonts w:ascii="Times New Roman" w:hAnsi="Times New Roman" w:cs="Times New Roman"/>
          <w:sz w:val="24"/>
          <w:szCs w:val="24"/>
        </w:rPr>
        <w:t xml:space="preserve">HR: </w:t>
      </w:r>
      <w:r w:rsidRPr="000B1EF9">
        <w:rPr>
          <w:rFonts w:ascii="Times New Roman" w:hAnsi="Times New Roman" w:cs="Times New Roman"/>
          <w:i/>
          <w:sz w:val="24"/>
          <w:szCs w:val="24"/>
        </w:rPr>
        <w:t>M</w:t>
      </w:r>
      <w:r w:rsidR="00965CFF">
        <w:rPr>
          <w:rFonts w:ascii="Times New Roman" w:hAnsi="Times New Roman" w:cs="Times New Roman"/>
          <w:sz w:val="24"/>
          <w:szCs w:val="24"/>
        </w:rPr>
        <w:t xml:space="preserve"> = 0.</w:t>
      </w:r>
      <w:r w:rsidR="004B7808">
        <w:rPr>
          <w:rFonts w:ascii="Times New Roman" w:hAnsi="Times New Roman" w:cs="Times New Roman"/>
          <w:sz w:val="24"/>
          <w:szCs w:val="24"/>
        </w:rPr>
        <w:t>6</w:t>
      </w:r>
      <w:r>
        <w:rPr>
          <w:rFonts w:ascii="Times New Roman" w:hAnsi="Times New Roman" w:cs="Times New Roman"/>
          <w:sz w:val="24"/>
          <w:szCs w:val="24"/>
        </w:rPr>
        <w:t xml:space="preserve">, </w:t>
      </w:r>
      <w:r w:rsidRPr="000B1EF9">
        <w:rPr>
          <w:rFonts w:ascii="Times New Roman" w:hAnsi="Times New Roman" w:cs="Times New Roman"/>
          <w:i/>
          <w:sz w:val="24"/>
          <w:szCs w:val="24"/>
        </w:rPr>
        <w:t>SD</w:t>
      </w:r>
      <w:r w:rsidR="00965CFF">
        <w:rPr>
          <w:rFonts w:ascii="Times New Roman" w:hAnsi="Times New Roman" w:cs="Times New Roman"/>
          <w:sz w:val="24"/>
          <w:szCs w:val="24"/>
        </w:rPr>
        <w:t xml:space="preserve"> = </w:t>
      </w:r>
      <w:r w:rsidR="004B7808">
        <w:rPr>
          <w:rFonts w:ascii="Times New Roman" w:hAnsi="Times New Roman" w:cs="Times New Roman"/>
          <w:sz w:val="24"/>
          <w:szCs w:val="24"/>
        </w:rPr>
        <w:t>1.9</w:t>
      </w:r>
      <w:r>
        <w:rPr>
          <w:rFonts w:ascii="Times New Roman" w:hAnsi="Times New Roman" w:cs="Times New Roman"/>
          <w:sz w:val="24"/>
          <w:szCs w:val="24"/>
        </w:rPr>
        <w:t xml:space="preserve">; LR: </w:t>
      </w:r>
      <w:r w:rsidRPr="000B1EF9">
        <w:rPr>
          <w:rFonts w:ascii="Times New Roman" w:hAnsi="Times New Roman" w:cs="Times New Roman"/>
          <w:i/>
          <w:sz w:val="24"/>
          <w:szCs w:val="24"/>
        </w:rPr>
        <w:t>M</w:t>
      </w:r>
      <w:r w:rsidR="00965CFF">
        <w:rPr>
          <w:rFonts w:ascii="Times New Roman" w:hAnsi="Times New Roman" w:cs="Times New Roman"/>
          <w:sz w:val="24"/>
          <w:szCs w:val="24"/>
        </w:rPr>
        <w:t xml:space="preserve"> = 0.9</w:t>
      </w:r>
      <w:r>
        <w:rPr>
          <w:rFonts w:ascii="Times New Roman" w:hAnsi="Times New Roman" w:cs="Times New Roman"/>
          <w:sz w:val="24"/>
          <w:szCs w:val="24"/>
        </w:rPr>
        <w:t xml:space="preserve">, </w:t>
      </w:r>
      <w:r w:rsidRPr="000B1EF9">
        <w:rPr>
          <w:rFonts w:ascii="Times New Roman" w:hAnsi="Times New Roman" w:cs="Times New Roman"/>
          <w:i/>
          <w:sz w:val="24"/>
          <w:szCs w:val="24"/>
        </w:rPr>
        <w:t>SD</w:t>
      </w:r>
      <w:r w:rsidR="00965CFF">
        <w:rPr>
          <w:rFonts w:ascii="Times New Roman" w:hAnsi="Times New Roman" w:cs="Times New Roman"/>
          <w:sz w:val="24"/>
          <w:szCs w:val="24"/>
        </w:rPr>
        <w:t xml:space="preserve"> = </w:t>
      </w:r>
      <w:r w:rsidR="004B7808">
        <w:rPr>
          <w:rFonts w:ascii="Times New Roman" w:hAnsi="Times New Roman" w:cs="Times New Roman"/>
          <w:sz w:val="24"/>
          <w:szCs w:val="24"/>
        </w:rPr>
        <w:t xml:space="preserve">1.6; </w:t>
      </w:r>
      <w:proofErr w:type="spellStart"/>
      <w:r w:rsidR="004B7808" w:rsidRPr="004B7808">
        <w:rPr>
          <w:rFonts w:ascii="Times New Roman" w:hAnsi="Times New Roman" w:cs="Times New Roman"/>
          <w:i/>
          <w:sz w:val="24"/>
          <w:szCs w:val="24"/>
        </w:rPr>
        <w:t>t</w:t>
      </w:r>
      <w:r w:rsidR="004B7808">
        <w:rPr>
          <w:rFonts w:ascii="Times New Roman" w:hAnsi="Times New Roman" w:cs="Times New Roman"/>
          <w:sz w:val="24"/>
          <w:szCs w:val="24"/>
        </w:rPr>
        <w:t>s</w:t>
      </w:r>
      <w:proofErr w:type="spellEnd"/>
      <w:r w:rsidR="004B7808">
        <w:rPr>
          <w:rFonts w:ascii="Times New Roman" w:hAnsi="Times New Roman" w:cs="Times New Roman"/>
          <w:sz w:val="24"/>
          <w:szCs w:val="24"/>
        </w:rPr>
        <w:t xml:space="preserve"> ≥ 2.4, </w:t>
      </w:r>
      <w:proofErr w:type="spellStart"/>
      <w:r w:rsidR="004B7808" w:rsidRPr="004B7808">
        <w:rPr>
          <w:rFonts w:ascii="Times New Roman" w:hAnsi="Times New Roman" w:cs="Times New Roman"/>
          <w:i/>
          <w:sz w:val="24"/>
          <w:szCs w:val="24"/>
        </w:rPr>
        <w:t>p</w:t>
      </w:r>
      <w:r w:rsidR="004B7808">
        <w:rPr>
          <w:rFonts w:ascii="Times New Roman" w:hAnsi="Times New Roman" w:cs="Times New Roman"/>
          <w:sz w:val="24"/>
          <w:szCs w:val="24"/>
        </w:rPr>
        <w:t>s</w:t>
      </w:r>
      <w:proofErr w:type="spellEnd"/>
      <w:r w:rsidR="004B7808">
        <w:rPr>
          <w:rFonts w:ascii="Times New Roman" w:hAnsi="Times New Roman" w:cs="Times New Roman"/>
          <w:sz w:val="24"/>
          <w:szCs w:val="24"/>
        </w:rPr>
        <w:t xml:space="preserve"> ≤ .021</w:t>
      </w:r>
      <w:r>
        <w:rPr>
          <w:rFonts w:ascii="Times New Roman" w:hAnsi="Times New Roman" w:cs="Times New Roman"/>
          <w:sz w:val="24"/>
          <w:szCs w:val="24"/>
        </w:rPr>
        <w:t>), indicating a</w:t>
      </w:r>
      <w:r w:rsidR="004B7808">
        <w:rPr>
          <w:rFonts w:ascii="Times New Roman" w:hAnsi="Times New Roman" w:cs="Times New Roman"/>
          <w:sz w:val="24"/>
          <w:szCs w:val="24"/>
        </w:rPr>
        <w:t xml:space="preserve"> </w:t>
      </w:r>
      <w:r>
        <w:rPr>
          <w:rFonts w:ascii="Times New Roman" w:hAnsi="Times New Roman" w:cs="Times New Roman"/>
          <w:sz w:val="24"/>
          <w:szCs w:val="24"/>
        </w:rPr>
        <w:t>negative bias</w:t>
      </w:r>
      <w:r>
        <w:rPr>
          <w:rFonts w:ascii="Times New Roman" w:hAnsi="Times New Roman" w:cs="Times New Roman"/>
          <w:i/>
          <w:sz w:val="24"/>
          <w:szCs w:val="24"/>
        </w:rPr>
        <w:t xml:space="preserve"> </w:t>
      </w:r>
      <w:r>
        <w:rPr>
          <w:rFonts w:ascii="Times New Roman" w:hAnsi="Times New Roman" w:cs="Times New Roman"/>
          <w:sz w:val="24"/>
          <w:szCs w:val="24"/>
        </w:rPr>
        <w:t xml:space="preserve">in </w:t>
      </w:r>
      <w:r w:rsidR="00965CFF">
        <w:rPr>
          <w:rFonts w:ascii="Times New Roman" w:hAnsi="Times New Roman" w:cs="Times New Roman"/>
          <w:sz w:val="24"/>
          <w:szCs w:val="24"/>
        </w:rPr>
        <w:t>all</w:t>
      </w:r>
      <w:r>
        <w:rPr>
          <w:rFonts w:ascii="Times New Roman" w:hAnsi="Times New Roman" w:cs="Times New Roman"/>
          <w:sz w:val="24"/>
          <w:szCs w:val="24"/>
        </w:rPr>
        <w:t xml:space="preserve"> groups. T</w:t>
      </w:r>
      <w:r w:rsidRPr="000B1EF9">
        <w:rPr>
          <w:rFonts w:ascii="Times New Roman" w:hAnsi="Times New Roman" w:cs="Times New Roman"/>
          <w:sz w:val="24"/>
          <w:szCs w:val="24"/>
        </w:rPr>
        <w:t>he</w:t>
      </w:r>
      <w:r>
        <w:rPr>
          <w:rFonts w:ascii="Times New Roman" w:hAnsi="Times New Roman" w:cs="Times New Roman"/>
          <w:i/>
          <w:sz w:val="24"/>
          <w:szCs w:val="24"/>
        </w:rPr>
        <w:t xml:space="preserve"> </w:t>
      </w:r>
      <w:r w:rsidR="007458C1" w:rsidRPr="007458C1">
        <w:rPr>
          <w:rFonts w:ascii="Times New Roman" w:hAnsi="Times New Roman" w:cs="Times New Roman"/>
          <w:sz w:val="24"/>
          <w:szCs w:val="24"/>
        </w:rPr>
        <w:t xml:space="preserve">ANOVA </w:t>
      </w:r>
      <w:r w:rsidR="007458C1">
        <w:rPr>
          <w:rFonts w:ascii="Times New Roman" w:hAnsi="Times New Roman" w:cs="Times New Roman"/>
          <w:sz w:val="24"/>
          <w:szCs w:val="24"/>
        </w:rPr>
        <w:t xml:space="preserve">on </w:t>
      </w:r>
      <w:r w:rsidR="007458C1" w:rsidRPr="0077473E">
        <w:rPr>
          <w:rFonts w:ascii="Times New Roman" w:hAnsi="Times New Roman" w:cs="Times New Roman"/>
          <w:sz w:val="24"/>
          <w:szCs w:val="24"/>
        </w:rPr>
        <w:t>IB</w:t>
      </w:r>
      <w:r w:rsidR="007458C1">
        <w:rPr>
          <w:rFonts w:ascii="Times New Roman" w:hAnsi="Times New Roman" w:cs="Times New Roman"/>
          <w:sz w:val="24"/>
          <w:szCs w:val="24"/>
          <w:vertAlign w:val="subscript"/>
        </w:rPr>
        <w:t>PB</w:t>
      </w:r>
      <w:r w:rsidR="007458C1" w:rsidRPr="0077473E">
        <w:rPr>
          <w:rFonts w:ascii="Times New Roman" w:hAnsi="Times New Roman" w:cs="Times New Roman"/>
          <w:sz w:val="24"/>
          <w:szCs w:val="24"/>
          <w:vertAlign w:val="subscript"/>
        </w:rPr>
        <w:t>T</w:t>
      </w:r>
      <w:r w:rsidR="007458C1">
        <w:rPr>
          <w:rFonts w:ascii="Times New Roman" w:hAnsi="Times New Roman" w:cs="Times New Roman"/>
          <w:i/>
          <w:sz w:val="24"/>
          <w:szCs w:val="24"/>
        </w:rPr>
        <w:t xml:space="preserve"> </w:t>
      </w:r>
      <w:r w:rsidR="007458C1" w:rsidRPr="000B1EF9">
        <w:rPr>
          <w:rFonts w:ascii="Times New Roman" w:hAnsi="Times New Roman" w:cs="Times New Roman"/>
          <w:sz w:val="24"/>
          <w:szCs w:val="24"/>
        </w:rPr>
        <w:t>scores</w:t>
      </w:r>
      <w:r w:rsidR="007458C1">
        <w:rPr>
          <w:rFonts w:ascii="Times New Roman" w:hAnsi="Times New Roman" w:cs="Times New Roman"/>
          <w:sz w:val="24"/>
          <w:szCs w:val="24"/>
        </w:rPr>
        <w:t xml:space="preserve"> </w:t>
      </w:r>
      <w:r w:rsidRPr="0077473E">
        <w:rPr>
          <w:rFonts w:ascii="Times New Roman" w:hAnsi="Times New Roman" w:cs="Times New Roman"/>
          <w:sz w:val="24"/>
          <w:szCs w:val="24"/>
        </w:rPr>
        <w:t xml:space="preserve">revealed no </w:t>
      </w:r>
      <w:r w:rsidR="007458C1">
        <w:rPr>
          <w:rFonts w:ascii="Times New Roman" w:hAnsi="Times New Roman" w:cs="Times New Roman"/>
          <w:sz w:val="24"/>
          <w:szCs w:val="24"/>
        </w:rPr>
        <w:t xml:space="preserve">significant effect of </w:t>
      </w:r>
      <w:r w:rsidR="009E2AA3" w:rsidRPr="009369A1">
        <w:rPr>
          <w:rFonts w:ascii="Times New Roman" w:hAnsi="Times New Roman" w:cs="Times New Roman"/>
          <w:smallCaps/>
          <w:sz w:val="24"/>
          <w:szCs w:val="24"/>
        </w:rPr>
        <w:t>Group</w:t>
      </w:r>
      <w:r w:rsidR="009E2AA3">
        <w:rPr>
          <w:rFonts w:ascii="Times New Roman" w:hAnsi="Times New Roman" w:cs="Times New Roman"/>
          <w:sz w:val="24"/>
          <w:szCs w:val="24"/>
        </w:rPr>
        <w:t xml:space="preserve"> </w:t>
      </w:r>
      <w:r w:rsidR="00951493" w:rsidRPr="0077473E">
        <w:rPr>
          <w:rFonts w:ascii="Times New Roman" w:hAnsi="Times New Roman" w:cs="Times New Roman"/>
          <w:sz w:val="24"/>
          <w:szCs w:val="24"/>
        </w:rPr>
        <w:t>(</w:t>
      </w:r>
      <w:r w:rsidR="007458C1" w:rsidRPr="002D2FAE">
        <w:rPr>
          <w:rFonts w:ascii="Times New Roman" w:hAnsi="Times New Roman" w:cs="Times New Roman"/>
          <w:i/>
          <w:sz w:val="24"/>
          <w:szCs w:val="24"/>
        </w:rPr>
        <w:t>F</w:t>
      </w:r>
      <w:r w:rsidR="007458C1">
        <w:rPr>
          <w:rFonts w:ascii="Times New Roman" w:hAnsi="Times New Roman" w:cs="Times New Roman"/>
          <w:sz w:val="24"/>
          <w:szCs w:val="24"/>
          <w:vertAlign w:val="subscript"/>
        </w:rPr>
        <w:t>2</w:t>
      </w:r>
      <w:proofErr w:type="gramStart"/>
      <w:r w:rsidR="007458C1">
        <w:rPr>
          <w:rFonts w:ascii="Times New Roman" w:hAnsi="Times New Roman" w:cs="Times New Roman"/>
          <w:sz w:val="24"/>
          <w:szCs w:val="24"/>
          <w:vertAlign w:val="subscript"/>
        </w:rPr>
        <w:t>,118</w:t>
      </w:r>
      <w:proofErr w:type="gramEnd"/>
      <w:r w:rsidR="007458C1">
        <w:rPr>
          <w:rFonts w:ascii="Times New Roman" w:hAnsi="Times New Roman" w:cs="Times New Roman"/>
          <w:sz w:val="24"/>
          <w:szCs w:val="24"/>
        </w:rPr>
        <w:t xml:space="preserve"> = 2.</w:t>
      </w:r>
      <w:r w:rsidR="004B7808">
        <w:rPr>
          <w:rFonts w:ascii="Times New Roman" w:hAnsi="Times New Roman" w:cs="Times New Roman"/>
          <w:sz w:val="24"/>
          <w:szCs w:val="24"/>
        </w:rPr>
        <w:t>6</w:t>
      </w:r>
      <w:r w:rsidR="00EA7BAA">
        <w:rPr>
          <w:rFonts w:ascii="Times New Roman" w:hAnsi="Times New Roman" w:cs="Times New Roman"/>
          <w:sz w:val="24"/>
          <w:szCs w:val="24"/>
        </w:rPr>
        <w:t>,</w:t>
      </w:r>
      <w:r w:rsidR="007458C1">
        <w:rPr>
          <w:rFonts w:ascii="Times New Roman" w:hAnsi="Times New Roman" w:cs="Times New Roman"/>
          <w:sz w:val="24"/>
          <w:szCs w:val="24"/>
        </w:rPr>
        <w:t xml:space="preserve"> </w:t>
      </w:r>
      <w:r w:rsidR="007458C1" w:rsidRPr="002D2FAE">
        <w:rPr>
          <w:rFonts w:ascii="Times New Roman" w:hAnsi="Times New Roman" w:cs="Times New Roman"/>
          <w:i/>
          <w:sz w:val="24"/>
          <w:szCs w:val="24"/>
        </w:rPr>
        <w:t>p</w:t>
      </w:r>
      <w:r w:rsidR="007458C1">
        <w:rPr>
          <w:rFonts w:ascii="Times New Roman" w:hAnsi="Times New Roman" w:cs="Times New Roman"/>
          <w:sz w:val="24"/>
          <w:szCs w:val="24"/>
        </w:rPr>
        <w:t xml:space="preserve"> = .07</w:t>
      </w:r>
      <w:r w:rsidR="004B7808">
        <w:rPr>
          <w:rFonts w:ascii="Times New Roman" w:hAnsi="Times New Roman" w:cs="Times New Roman"/>
          <w:sz w:val="24"/>
          <w:szCs w:val="24"/>
        </w:rPr>
        <w:t>6</w:t>
      </w:r>
      <w:r w:rsidR="00951493">
        <w:rPr>
          <w:rFonts w:ascii="Times New Roman" w:hAnsi="Times New Roman" w:cs="Times New Roman"/>
          <w:sz w:val="24"/>
          <w:szCs w:val="24"/>
        </w:rPr>
        <w:t>)</w:t>
      </w:r>
      <w:r w:rsidRPr="0077473E">
        <w:rPr>
          <w:rFonts w:ascii="Times New Roman" w:hAnsi="Times New Roman" w:cs="Times New Roman"/>
          <w:sz w:val="24"/>
          <w:szCs w:val="24"/>
        </w:rPr>
        <w:t xml:space="preserve">. </w:t>
      </w:r>
      <w:r w:rsidR="004B7808">
        <w:rPr>
          <w:rFonts w:ascii="Times New Roman" w:hAnsi="Times New Roman" w:cs="Times New Roman"/>
          <w:sz w:val="24"/>
          <w:szCs w:val="24"/>
        </w:rPr>
        <w:t>Positive</w:t>
      </w:r>
      <w:r w:rsidR="004B7808" w:rsidRPr="00040320">
        <w:rPr>
          <w:rFonts w:ascii="Times New Roman" w:hAnsi="Times New Roman" w:cs="Times New Roman"/>
          <w:sz w:val="24"/>
          <w:szCs w:val="24"/>
          <w:lang w:val="en-US"/>
        </w:rPr>
        <w:t xml:space="preserve"> </w:t>
      </w:r>
      <w:r w:rsidR="007458C1" w:rsidRPr="00040320">
        <w:rPr>
          <w:rFonts w:ascii="Times New Roman" w:hAnsi="Times New Roman" w:cs="Times New Roman"/>
          <w:sz w:val="24"/>
          <w:szCs w:val="24"/>
          <w:lang w:val="en-US"/>
        </w:rPr>
        <w:t>correlations between IB</w:t>
      </w:r>
      <w:r w:rsidR="007458C1">
        <w:rPr>
          <w:rFonts w:ascii="Times New Roman" w:hAnsi="Times New Roman" w:cs="Times New Roman"/>
          <w:sz w:val="24"/>
          <w:szCs w:val="24"/>
          <w:vertAlign w:val="subscript"/>
          <w:lang w:val="en-US"/>
        </w:rPr>
        <w:t>PB</w:t>
      </w:r>
      <w:r w:rsidR="007458C1" w:rsidRPr="00040320">
        <w:rPr>
          <w:rFonts w:ascii="Times New Roman" w:hAnsi="Times New Roman" w:cs="Times New Roman"/>
          <w:sz w:val="24"/>
          <w:szCs w:val="24"/>
          <w:vertAlign w:val="subscript"/>
          <w:lang w:val="en-US"/>
        </w:rPr>
        <w:t>T</w:t>
      </w:r>
      <w:r w:rsidR="007458C1">
        <w:rPr>
          <w:rFonts w:ascii="Times New Roman" w:hAnsi="Times New Roman" w:cs="Times New Roman"/>
          <w:sz w:val="24"/>
          <w:szCs w:val="24"/>
          <w:lang w:val="en-US"/>
        </w:rPr>
        <w:t xml:space="preserve"> score</w:t>
      </w:r>
      <w:r w:rsidR="007458C1" w:rsidRPr="00040320">
        <w:rPr>
          <w:rFonts w:ascii="Times New Roman" w:hAnsi="Times New Roman" w:cs="Times New Roman"/>
          <w:sz w:val="24"/>
          <w:szCs w:val="24"/>
          <w:lang w:val="en-US"/>
        </w:rPr>
        <w:t xml:space="preserve"> and depressive symptoms (</w:t>
      </w:r>
      <w:r w:rsidR="007458C1" w:rsidRPr="00040320">
        <w:rPr>
          <w:rFonts w:ascii="Times New Roman" w:hAnsi="Times New Roman" w:cs="Times New Roman"/>
          <w:i/>
          <w:sz w:val="24"/>
          <w:szCs w:val="24"/>
          <w:lang w:val="en-US"/>
        </w:rPr>
        <w:t xml:space="preserve">r </w:t>
      </w:r>
      <w:r w:rsidR="007458C1" w:rsidRPr="00040320">
        <w:rPr>
          <w:rFonts w:ascii="Times New Roman" w:hAnsi="Times New Roman" w:cs="Times New Roman"/>
          <w:sz w:val="24"/>
          <w:szCs w:val="24"/>
          <w:lang w:val="en-US"/>
        </w:rPr>
        <w:t xml:space="preserve">= </w:t>
      </w:r>
      <w:r w:rsidR="007458C1">
        <w:rPr>
          <w:rFonts w:ascii="Times New Roman" w:hAnsi="Times New Roman" w:cs="Times New Roman"/>
          <w:sz w:val="24"/>
          <w:szCs w:val="24"/>
          <w:lang w:val="en-US"/>
        </w:rPr>
        <w:t>.2</w:t>
      </w:r>
      <w:r w:rsidR="004B7808">
        <w:rPr>
          <w:rFonts w:ascii="Times New Roman" w:hAnsi="Times New Roman" w:cs="Times New Roman"/>
          <w:sz w:val="24"/>
          <w:szCs w:val="24"/>
          <w:lang w:val="en-US"/>
        </w:rPr>
        <w:t>9</w:t>
      </w:r>
      <w:r w:rsidR="007458C1" w:rsidRPr="00040320">
        <w:rPr>
          <w:rFonts w:ascii="Times New Roman" w:hAnsi="Times New Roman" w:cs="Times New Roman"/>
          <w:sz w:val="24"/>
          <w:szCs w:val="24"/>
          <w:lang w:val="en-US"/>
        </w:rPr>
        <w:t xml:space="preserve">, </w:t>
      </w:r>
      <w:r w:rsidR="007458C1" w:rsidRPr="00040320">
        <w:rPr>
          <w:rFonts w:ascii="Times New Roman" w:hAnsi="Times New Roman" w:cs="Times New Roman"/>
          <w:i/>
          <w:sz w:val="24"/>
          <w:szCs w:val="24"/>
          <w:lang w:val="en-US"/>
        </w:rPr>
        <w:t xml:space="preserve">p </w:t>
      </w:r>
      <w:r w:rsidR="007458C1">
        <w:rPr>
          <w:rFonts w:ascii="Times New Roman" w:hAnsi="Times New Roman" w:cs="Times New Roman"/>
          <w:sz w:val="24"/>
          <w:szCs w:val="24"/>
          <w:lang w:val="en-US"/>
        </w:rPr>
        <w:t>=</w:t>
      </w:r>
      <w:r w:rsidR="007458C1" w:rsidRPr="00040320">
        <w:rPr>
          <w:rFonts w:ascii="Times New Roman" w:hAnsi="Times New Roman" w:cs="Times New Roman"/>
          <w:sz w:val="24"/>
          <w:szCs w:val="24"/>
          <w:lang w:val="en-US"/>
        </w:rPr>
        <w:t xml:space="preserve"> .00</w:t>
      </w:r>
      <w:r w:rsidR="004B7808">
        <w:rPr>
          <w:rFonts w:ascii="Times New Roman" w:hAnsi="Times New Roman" w:cs="Times New Roman"/>
          <w:sz w:val="24"/>
          <w:szCs w:val="24"/>
          <w:lang w:val="en-US"/>
        </w:rPr>
        <w:t>2</w:t>
      </w:r>
      <w:r w:rsidR="007458C1" w:rsidRPr="00040320">
        <w:rPr>
          <w:rFonts w:ascii="Times New Roman" w:hAnsi="Times New Roman" w:cs="Times New Roman"/>
          <w:sz w:val="24"/>
          <w:szCs w:val="24"/>
          <w:lang w:val="en-US"/>
        </w:rPr>
        <w:t xml:space="preserve">) as well as anxiety </w:t>
      </w:r>
      <w:r w:rsidR="001E7995">
        <w:rPr>
          <w:rFonts w:ascii="Times New Roman" w:hAnsi="Times New Roman" w:cs="Times New Roman"/>
          <w:sz w:val="24"/>
          <w:szCs w:val="24"/>
          <w:lang w:val="en-US"/>
        </w:rPr>
        <w:t>symptoms</w:t>
      </w:r>
      <w:r w:rsidR="001E7995" w:rsidRPr="00040320">
        <w:rPr>
          <w:rFonts w:ascii="Times New Roman" w:hAnsi="Times New Roman" w:cs="Times New Roman"/>
          <w:sz w:val="24"/>
          <w:szCs w:val="24"/>
          <w:lang w:val="en-US"/>
        </w:rPr>
        <w:t xml:space="preserve"> </w:t>
      </w:r>
      <w:r w:rsidR="007458C1" w:rsidRPr="00040320">
        <w:rPr>
          <w:rFonts w:ascii="Times New Roman" w:hAnsi="Times New Roman" w:cs="Times New Roman"/>
          <w:sz w:val="24"/>
          <w:szCs w:val="24"/>
          <w:lang w:val="en-US"/>
        </w:rPr>
        <w:t>(</w:t>
      </w:r>
      <w:r w:rsidR="007458C1" w:rsidRPr="00040320">
        <w:rPr>
          <w:rFonts w:ascii="Times New Roman" w:hAnsi="Times New Roman" w:cs="Times New Roman"/>
          <w:i/>
          <w:sz w:val="24"/>
          <w:szCs w:val="24"/>
          <w:lang w:val="en-US"/>
        </w:rPr>
        <w:t xml:space="preserve">r </w:t>
      </w:r>
      <w:r w:rsidR="007458C1" w:rsidRPr="00040320">
        <w:rPr>
          <w:rFonts w:ascii="Times New Roman" w:hAnsi="Times New Roman" w:cs="Times New Roman"/>
          <w:sz w:val="24"/>
          <w:szCs w:val="24"/>
          <w:lang w:val="en-US"/>
        </w:rPr>
        <w:t xml:space="preserve">= </w:t>
      </w:r>
      <w:r w:rsidR="007458C1">
        <w:rPr>
          <w:rFonts w:ascii="Times New Roman" w:hAnsi="Times New Roman" w:cs="Times New Roman"/>
          <w:sz w:val="24"/>
          <w:szCs w:val="24"/>
          <w:lang w:val="en-US"/>
        </w:rPr>
        <w:t>.23</w:t>
      </w:r>
      <w:r w:rsidR="007458C1" w:rsidRPr="00040320">
        <w:rPr>
          <w:rFonts w:ascii="Times New Roman" w:hAnsi="Times New Roman" w:cs="Times New Roman"/>
          <w:sz w:val="24"/>
          <w:szCs w:val="24"/>
          <w:lang w:val="en-US"/>
        </w:rPr>
        <w:t xml:space="preserve">, </w:t>
      </w:r>
      <w:r w:rsidR="007458C1" w:rsidRPr="00040320">
        <w:rPr>
          <w:rFonts w:ascii="Times New Roman" w:hAnsi="Times New Roman" w:cs="Times New Roman"/>
          <w:i/>
          <w:sz w:val="24"/>
          <w:szCs w:val="24"/>
          <w:lang w:val="en-US"/>
        </w:rPr>
        <w:t xml:space="preserve">p </w:t>
      </w:r>
      <w:r w:rsidR="007458C1">
        <w:rPr>
          <w:rFonts w:ascii="Times New Roman" w:hAnsi="Times New Roman" w:cs="Times New Roman"/>
          <w:sz w:val="24"/>
          <w:szCs w:val="24"/>
          <w:lang w:val="en-US"/>
        </w:rPr>
        <w:t>= .01</w:t>
      </w:r>
      <w:r w:rsidR="004B7808">
        <w:rPr>
          <w:rFonts w:ascii="Times New Roman" w:hAnsi="Times New Roman" w:cs="Times New Roman"/>
          <w:sz w:val="24"/>
          <w:szCs w:val="24"/>
          <w:lang w:val="en-US"/>
        </w:rPr>
        <w:t>3</w:t>
      </w:r>
      <w:r w:rsidR="007458C1" w:rsidRPr="00040320">
        <w:rPr>
          <w:rFonts w:ascii="Times New Roman" w:hAnsi="Times New Roman" w:cs="Times New Roman"/>
          <w:sz w:val="24"/>
          <w:szCs w:val="24"/>
          <w:lang w:val="en-US"/>
        </w:rPr>
        <w:t xml:space="preserve">) were found. </w:t>
      </w:r>
      <w:proofErr w:type="spellStart"/>
      <w:r w:rsidR="007458C1">
        <w:rPr>
          <w:rFonts w:ascii="Times New Roman" w:hAnsi="Times New Roman" w:cs="Times New Roman"/>
          <w:sz w:val="24"/>
          <w:szCs w:val="24"/>
          <w:lang w:val="en-US"/>
        </w:rPr>
        <w:t>Exploratively</w:t>
      </w:r>
      <w:proofErr w:type="spellEnd"/>
      <w:r w:rsidR="007458C1">
        <w:rPr>
          <w:rFonts w:ascii="Times New Roman" w:hAnsi="Times New Roman" w:cs="Times New Roman"/>
          <w:sz w:val="24"/>
          <w:szCs w:val="24"/>
          <w:lang w:val="en-US"/>
        </w:rPr>
        <w:t xml:space="preserve">, the correlations were recalculated within the groups, revealing a significant correlation only between </w:t>
      </w:r>
      <w:r w:rsidR="007458C1" w:rsidRPr="00040320">
        <w:rPr>
          <w:rFonts w:ascii="Times New Roman" w:hAnsi="Times New Roman" w:cs="Times New Roman"/>
          <w:sz w:val="24"/>
          <w:szCs w:val="24"/>
          <w:lang w:val="en-US"/>
        </w:rPr>
        <w:t>IB</w:t>
      </w:r>
      <w:r w:rsidR="007458C1">
        <w:rPr>
          <w:rFonts w:ascii="Times New Roman" w:hAnsi="Times New Roman" w:cs="Times New Roman"/>
          <w:sz w:val="24"/>
          <w:szCs w:val="24"/>
          <w:vertAlign w:val="subscript"/>
          <w:lang w:val="en-US"/>
        </w:rPr>
        <w:t>PB</w:t>
      </w:r>
      <w:r w:rsidR="007458C1" w:rsidRPr="00040320">
        <w:rPr>
          <w:rFonts w:ascii="Times New Roman" w:hAnsi="Times New Roman" w:cs="Times New Roman"/>
          <w:sz w:val="24"/>
          <w:szCs w:val="24"/>
          <w:vertAlign w:val="subscript"/>
          <w:lang w:val="en-US"/>
        </w:rPr>
        <w:t>T</w:t>
      </w:r>
      <w:r w:rsidR="007458C1">
        <w:rPr>
          <w:rFonts w:ascii="Times New Roman" w:hAnsi="Times New Roman" w:cs="Times New Roman"/>
          <w:sz w:val="24"/>
          <w:szCs w:val="24"/>
          <w:lang w:val="en-US"/>
        </w:rPr>
        <w:t xml:space="preserve"> and </w:t>
      </w:r>
      <w:r w:rsidR="007458C1" w:rsidRPr="00040320">
        <w:rPr>
          <w:rFonts w:ascii="Times New Roman" w:hAnsi="Times New Roman" w:cs="Times New Roman"/>
          <w:sz w:val="24"/>
          <w:szCs w:val="24"/>
          <w:lang w:val="en-US"/>
        </w:rPr>
        <w:t>depressive symptoms</w:t>
      </w:r>
      <w:r w:rsidR="007458C1">
        <w:rPr>
          <w:rFonts w:ascii="Times New Roman" w:hAnsi="Times New Roman" w:cs="Times New Roman"/>
          <w:sz w:val="24"/>
          <w:szCs w:val="24"/>
          <w:lang w:val="en-US"/>
        </w:rPr>
        <w:t xml:space="preserve"> within the MD group (</w:t>
      </w:r>
      <w:r w:rsidR="007458C1" w:rsidRPr="00040320">
        <w:rPr>
          <w:rFonts w:ascii="Times New Roman" w:hAnsi="Times New Roman" w:cs="Times New Roman"/>
          <w:i/>
          <w:sz w:val="24"/>
          <w:szCs w:val="24"/>
          <w:lang w:val="en-US"/>
        </w:rPr>
        <w:t xml:space="preserve">r </w:t>
      </w:r>
      <w:r w:rsidR="007458C1" w:rsidRPr="00040320">
        <w:rPr>
          <w:rFonts w:ascii="Times New Roman" w:hAnsi="Times New Roman" w:cs="Times New Roman"/>
          <w:sz w:val="24"/>
          <w:szCs w:val="24"/>
          <w:lang w:val="en-US"/>
        </w:rPr>
        <w:t xml:space="preserve">= </w:t>
      </w:r>
      <w:r w:rsidR="007458C1">
        <w:rPr>
          <w:rFonts w:ascii="Times New Roman" w:hAnsi="Times New Roman" w:cs="Times New Roman"/>
          <w:sz w:val="24"/>
          <w:szCs w:val="24"/>
          <w:lang w:val="en-US"/>
        </w:rPr>
        <w:t>.</w:t>
      </w:r>
      <w:r w:rsidR="004B7808">
        <w:rPr>
          <w:rFonts w:ascii="Times New Roman" w:hAnsi="Times New Roman" w:cs="Times New Roman"/>
          <w:sz w:val="24"/>
          <w:szCs w:val="24"/>
          <w:lang w:val="en-US"/>
        </w:rPr>
        <w:t>40</w:t>
      </w:r>
      <w:r w:rsidR="007458C1" w:rsidRPr="00040320">
        <w:rPr>
          <w:rFonts w:ascii="Times New Roman" w:hAnsi="Times New Roman" w:cs="Times New Roman"/>
          <w:sz w:val="24"/>
          <w:szCs w:val="24"/>
          <w:lang w:val="en-US"/>
        </w:rPr>
        <w:t xml:space="preserve">, </w:t>
      </w:r>
      <w:r w:rsidR="007458C1" w:rsidRPr="00040320">
        <w:rPr>
          <w:rFonts w:ascii="Times New Roman" w:hAnsi="Times New Roman" w:cs="Times New Roman"/>
          <w:i/>
          <w:sz w:val="24"/>
          <w:szCs w:val="24"/>
          <w:lang w:val="en-US"/>
        </w:rPr>
        <w:t xml:space="preserve">p </w:t>
      </w:r>
      <w:r w:rsidR="007458C1">
        <w:rPr>
          <w:rFonts w:ascii="Times New Roman" w:hAnsi="Times New Roman" w:cs="Times New Roman"/>
          <w:sz w:val="24"/>
          <w:szCs w:val="24"/>
          <w:lang w:val="en-US"/>
        </w:rPr>
        <w:t>= .0</w:t>
      </w:r>
      <w:r w:rsidR="004B7808">
        <w:rPr>
          <w:rFonts w:ascii="Times New Roman" w:hAnsi="Times New Roman" w:cs="Times New Roman"/>
          <w:sz w:val="24"/>
          <w:szCs w:val="24"/>
          <w:lang w:val="en-US"/>
        </w:rPr>
        <w:t>23</w:t>
      </w:r>
      <w:r w:rsidR="007458C1" w:rsidRPr="00040320">
        <w:rPr>
          <w:rFonts w:ascii="Times New Roman" w:hAnsi="Times New Roman" w:cs="Times New Roman"/>
          <w:sz w:val="24"/>
          <w:szCs w:val="24"/>
          <w:lang w:val="en-US"/>
        </w:rPr>
        <w:t>)</w:t>
      </w:r>
      <w:r w:rsidR="007458C1">
        <w:rPr>
          <w:rFonts w:ascii="Times New Roman" w:hAnsi="Times New Roman" w:cs="Times New Roman"/>
          <w:sz w:val="24"/>
          <w:szCs w:val="24"/>
          <w:lang w:val="en-US"/>
        </w:rPr>
        <w:t>, while all other correlations were non-significant (</w:t>
      </w:r>
      <w:r w:rsidR="00262C1C">
        <w:rPr>
          <w:rFonts w:ascii="Times New Roman" w:hAnsi="Times New Roman" w:cs="Times New Roman"/>
          <w:sz w:val="24"/>
          <w:szCs w:val="24"/>
          <w:lang w:val="en-US"/>
        </w:rPr>
        <w:t>|</w:t>
      </w:r>
      <w:proofErr w:type="spellStart"/>
      <w:r w:rsidR="007458C1" w:rsidRPr="00040320">
        <w:rPr>
          <w:rFonts w:ascii="Times New Roman" w:hAnsi="Times New Roman" w:cs="Times New Roman"/>
          <w:i/>
          <w:sz w:val="24"/>
          <w:szCs w:val="24"/>
          <w:lang w:val="en-US"/>
        </w:rPr>
        <w:t>r</w:t>
      </w:r>
      <w:r w:rsidR="007458C1">
        <w:rPr>
          <w:rFonts w:ascii="Times New Roman" w:hAnsi="Times New Roman" w:cs="Times New Roman"/>
          <w:sz w:val="24"/>
          <w:szCs w:val="24"/>
          <w:lang w:val="en-US"/>
        </w:rPr>
        <w:t>s</w:t>
      </w:r>
      <w:proofErr w:type="spellEnd"/>
      <w:r w:rsidR="00262C1C">
        <w:rPr>
          <w:rFonts w:ascii="Times New Roman" w:hAnsi="Times New Roman" w:cs="Times New Roman"/>
          <w:sz w:val="24"/>
          <w:szCs w:val="24"/>
          <w:lang w:val="en-US"/>
        </w:rPr>
        <w:t>|</w:t>
      </w:r>
      <w:r w:rsidR="007458C1">
        <w:rPr>
          <w:rFonts w:ascii="Times New Roman" w:hAnsi="Times New Roman" w:cs="Times New Roman"/>
          <w:sz w:val="24"/>
          <w:szCs w:val="24"/>
          <w:lang w:val="en-US"/>
        </w:rPr>
        <w:t xml:space="preserve"> ≤ .2</w:t>
      </w:r>
      <w:r w:rsidR="004B7808">
        <w:rPr>
          <w:rFonts w:ascii="Times New Roman" w:hAnsi="Times New Roman" w:cs="Times New Roman"/>
          <w:sz w:val="24"/>
          <w:szCs w:val="24"/>
          <w:lang w:val="en-US"/>
        </w:rPr>
        <w:t>6</w:t>
      </w:r>
      <w:r w:rsidR="007458C1" w:rsidRPr="00040320">
        <w:rPr>
          <w:rFonts w:ascii="Times New Roman" w:hAnsi="Times New Roman" w:cs="Times New Roman"/>
          <w:sz w:val="24"/>
          <w:szCs w:val="24"/>
          <w:lang w:val="en-US"/>
        </w:rPr>
        <w:t xml:space="preserve">, </w:t>
      </w:r>
      <w:proofErr w:type="spellStart"/>
      <w:r w:rsidR="007458C1" w:rsidRPr="00040320">
        <w:rPr>
          <w:rFonts w:ascii="Times New Roman" w:hAnsi="Times New Roman" w:cs="Times New Roman"/>
          <w:i/>
          <w:sz w:val="24"/>
          <w:szCs w:val="24"/>
          <w:lang w:val="en-US"/>
        </w:rPr>
        <w:t>p</w:t>
      </w:r>
      <w:r w:rsidR="007458C1">
        <w:rPr>
          <w:rFonts w:ascii="Times New Roman" w:hAnsi="Times New Roman" w:cs="Times New Roman"/>
          <w:sz w:val="24"/>
          <w:szCs w:val="24"/>
          <w:lang w:val="en-US"/>
        </w:rPr>
        <w:t>s</w:t>
      </w:r>
      <w:proofErr w:type="spellEnd"/>
      <w:r w:rsidR="007458C1">
        <w:rPr>
          <w:rFonts w:ascii="Times New Roman" w:hAnsi="Times New Roman" w:cs="Times New Roman"/>
          <w:sz w:val="24"/>
          <w:szCs w:val="24"/>
          <w:lang w:val="en-US"/>
        </w:rPr>
        <w:t xml:space="preserve"> &gt; .</w:t>
      </w:r>
      <w:r w:rsidR="004B7808">
        <w:rPr>
          <w:rFonts w:ascii="Times New Roman" w:hAnsi="Times New Roman" w:cs="Times New Roman"/>
          <w:sz w:val="24"/>
          <w:szCs w:val="24"/>
          <w:lang w:val="en-US"/>
        </w:rPr>
        <w:t>1</w:t>
      </w:r>
      <w:r w:rsidR="007458C1" w:rsidRPr="00040320">
        <w:rPr>
          <w:rFonts w:ascii="Times New Roman" w:hAnsi="Times New Roman" w:cs="Times New Roman"/>
          <w:sz w:val="24"/>
          <w:szCs w:val="24"/>
          <w:lang w:val="en-US"/>
        </w:rPr>
        <w:t>).</w:t>
      </w:r>
    </w:p>
    <w:p w14:paraId="34D44405" w14:textId="77777777" w:rsidR="00967FB7" w:rsidRDefault="00967FB7" w:rsidP="005562B5">
      <w:pPr>
        <w:autoSpaceDE w:val="0"/>
        <w:autoSpaceDN w:val="0"/>
        <w:adjustRightInd w:val="0"/>
        <w:spacing w:line="360" w:lineRule="auto"/>
        <w:rPr>
          <w:rFonts w:ascii="Times New Roman" w:hAnsi="Times New Roman" w:cs="Times New Roman"/>
          <w:sz w:val="24"/>
          <w:szCs w:val="24"/>
        </w:rPr>
      </w:pPr>
      <w:r w:rsidRPr="00800CF6">
        <w:rPr>
          <w:rFonts w:ascii="Times New Roman" w:hAnsi="Times New Roman" w:cs="Times New Roman"/>
          <w:b/>
          <w:sz w:val="24"/>
          <w:szCs w:val="24"/>
        </w:rPr>
        <w:t>Differences between our task and that of Haller et al. (2016):</w:t>
      </w:r>
    </w:p>
    <w:p w14:paraId="4E424AF5" w14:textId="3F7986AF" w:rsidR="00967FB7" w:rsidRDefault="00967FB7" w:rsidP="005562B5">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Our task differed from that of Haller et al. (2016) in some important aspects which</w:t>
      </w:r>
      <w:r w:rsidR="008B1108">
        <w:rPr>
          <w:rFonts w:ascii="Times New Roman" w:hAnsi="Times New Roman" w:cs="Times New Roman"/>
          <w:sz w:val="24"/>
          <w:szCs w:val="24"/>
        </w:rPr>
        <w:t xml:space="preserve"> </w:t>
      </w:r>
      <w:proofErr w:type="gramStart"/>
      <w:r w:rsidR="008B1108">
        <w:rPr>
          <w:rFonts w:ascii="Times New Roman" w:hAnsi="Times New Roman" w:cs="Times New Roman"/>
          <w:sz w:val="24"/>
          <w:szCs w:val="24"/>
        </w:rPr>
        <w:t>leads</w:t>
      </w:r>
      <w:proofErr w:type="gramEnd"/>
      <w:r w:rsidR="008B1108">
        <w:rPr>
          <w:rFonts w:ascii="Times New Roman" w:hAnsi="Times New Roman" w:cs="Times New Roman"/>
          <w:sz w:val="24"/>
          <w:szCs w:val="24"/>
        </w:rPr>
        <w:t xml:space="preserve"> to the assumption</w:t>
      </w:r>
      <w:r>
        <w:rPr>
          <w:rFonts w:ascii="Times New Roman" w:hAnsi="Times New Roman" w:cs="Times New Roman"/>
          <w:sz w:val="24"/>
          <w:szCs w:val="24"/>
        </w:rPr>
        <w:t xml:space="preserve"> </w:t>
      </w:r>
      <w:r w:rsidR="008B1108">
        <w:rPr>
          <w:rFonts w:ascii="Times New Roman" w:hAnsi="Times New Roman" w:cs="Times New Roman"/>
          <w:sz w:val="24"/>
          <w:szCs w:val="24"/>
        </w:rPr>
        <w:t>that</w:t>
      </w:r>
      <w:r>
        <w:rPr>
          <w:rFonts w:ascii="Times New Roman" w:hAnsi="Times New Roman" w:cs="Times New Roman"/>
          <w:sz w:val="24"/>
          <w:szCs w:val="24"/>
        </w:rPr>
        <w:t xml:space="preserve"> the task </w:t>
      </w:r>
      <w:r w:rsidR="008B1108">
        <w:rPr>
          <w:rFonts w:ascii="Times New Roman" w:hAnsi="Times New Roman" w:cs="Times New Roman"/>
          <w:sz w:val="24"/>
          <w:szCs w:val="24"/>
        </w:rPr>
        <w:t xml:space="preserve">is </w:t>
      </w:r>
      <w:r w:rsidR="004B7808">
        <w:rPr>
          <w:rFonts w:ascii="Times New Roman" w:hAnsi="Times New Roman" w:cs="Times New Roman"/>
          <w:sz w:val="24"/>
          <w:szCs w:val="24"/>
        </w:rPr>
        <w:t xml:space="preserve">a less </w:t>
      </w:r>
      <w:r>
        <w:rPr>
          <w:rFonts w:ascii="Times New Roman" w:hAnsi="Times New Roman" w:cs="Times New Roman"/>
          <w:sz w:val="24"/>
          <w:szCs w:val="24"/>
        </w:rPr>
        <w:t>valid measure of interpretation bias in our study. First and most importantly, the age range of participants differe</w:t>
      </w:r>
      <w:r w:rsidR="001E7995">
        <w:rPr>
          <w:rFonts w:ascii="Times New Roman" w:hAnsi="Times New Roman" w:cs="Times New Roman"/>
          <w:sz w:val="24"/>
          <w:szCs w:val="24"/>
        </w:rPr>
        <w:t>d</w:t>
      </w:r>
      <w:r>
        <w:rPr>
          <w:rFonts w:ascii="Times New Roman" w:hAnsi="Times New Roman" w:cs="Times New Roman"/>
          <w:sz w:val="24"/>
          <w:szCs w:val="24"/>
        </w:rPr>
        <w:t xml:space="preserve">: while Haller et al. (2016) studied adolescents </w:t>
      </w:r>
      <w:r w:rsidR="008B7D25">
        <w:rPr>
          <w:rFonts w:ascii="Times New Roman" w:hAnsi="Times New Roman" w:cs="Times New Roman"/>
          <w:sz w:val="24"/>
          <w:szCs w:val="24"/>
        </w:rPr>
        <w:t xml:space="preserve">aged </w:t>
      </w:r>
      <w:r>
        <w:rPr>
          <w:rFonts w:ascii="Times New Roman" w:hAnsi="Times New Roman" w:cs="Times New Roman"/>
          <w:sz w:val="24"/>
          <w:szCs w:val="24"/>
        </w:rPr>
        <w:t xml:space="preserve">14-17 years, our sample was 9-14 years old. Therefore it is likely that the </w:t>
      </w:r>
      <w:r>
        <w:rPr>
          <w:rFonts w:ascii="Times New Roman" w:hAnsi="Times New Roman" w:cs="Times New Roman"/>
          <w:sz w:val="24"/>
          <w:szCs w:val="24"/>
        </w:rPr>
        <w:lastRenderedPageBreak/>
        <w:t xml:space="preserve">stimuli were not age-appropriate for our </w:t>
      </w:r>
      <w:r w:rsidR="001E7995">
        <w:rPr>
          <w:rFonts w:ascii="Times New Roman" w:hAnsi="Times New Roman" w:cs="Times New Roman"/>
          <w:sz w:val="24"/>
          <w:szCs w:val="24"/>
        </w:rPr>
        <w:t xml:space="preserve">younger </w:t>
      </w:r>
      <w:r>
        <w:rPr>
          <w:rFonts w:ascii="Times New Roman" w:hAnsi="Times New Roman" w:cs="Times New Roman"/>
          <w:sz w:val="24"/>
          <w:szCs w:val="24"/>
        </w:rPr>
        <w:t xml:space="preserve">sample. Second, Haller et al. (2016) superimposed a picture of the participant onto the pictures (so that the person depicted from </w:t>
      </w:r>
      <w:r w:rsidR="001E7995">
        <w:rPr>
          <w:rFonts w:ascii="Times New Roman" w:hAnsi="Times New Roman" w:cs="Times New Roman"/>
          <w:sz w:val="24"/>
          <w:szCs w:val="24"/>
        </w:rPr>
        <w:t>behind</w:t>
      </w:r>
      <w:r>
        <w:rPr>
          <w:rFonts w:ascii="Times New Roman" w:hAnsi="Times New Roman" w:cs="Times New Roman"/>
          <w:sz w:val="24"/>
          <w:szCs w:val="24"/>
        </w:rPr>
        <w:t xml:space="preserve"> was the participant him- or herself) to create the illusion of the participant being an active partaker within the scene. This might render the pictures more self-relevant. Third, a mental imagery </w:t>
      </w:r>
      <w:r w:rsidR="000559F2">
        <w:rPr>
          <w:rFonts w:ascii="Times New Roman" w:hAnsi="Times New Roman" w:cs="Times New Roman"/>
          <w:sz w:val="24"/>
          <w:szCs w:val="24"/>
        </w:rPr>
        <w:t>t</w:t>
      </w:r>
      <w:r>
        <w:rPr>
          <w:rFonts w:ascii="Times New Roman" w:hAnsi="Times New Roman" w:cs="Times New Roman"/>
          <w:sz w:val="24"/>
          <w:szCs w:val="24"/>
        </w:rPr>
        <w:t>ask was carried out before the completion of the PBT</w:t>
      </w:r>
      <w:r w:rsidRPr="00E3233A">
        <w:rPr>
          <w:rFonts w:ascii="Times New Roman" w:hAnsi="Times New Roman" w:cs="Times New Roman"/>
          <w:sz w:val="24"/>
          <w:szCs w:val="24"/>
        </w:rPr>
        <w:t xml:space="preserve"> </w:t>
      </w:r>
      <w:r>
        <w:rPr>
          <w:rFonts w:ascii="Times New Roman" w:hAnsi="Times New Roman" w:cs="Times New Roman"/>
          <w:sz w:val="24"/>
          <w:szCs w:val="24"/>
        </w:rPr>
        <w:t>in the study of Haller et al. (2016), again possibly rendering the pictures more self-relevant. Forth, the task was designed to study the impact of social anxiety on the interpretation of social situations; it might be less suitable to assess interpretation biases related to depression.</w:t>
      </w:r>
    </w:p>
    <w:p w14:paraId="5778FAF1" w14:textId="573FE124" w:rsidR="00B47824" w:rsidRPr="00E822D6" w:rsidRDefault="00B47824" w:rsidP="00B47824">
      <w:pPr>
        <w:spacing w:line="360" w:lineRule="auto"/>
        <w:ind w:left="720" w:hanging="720"/>
        <w:rPr>
          <w:rFonts w:ascii="Times New Roman" w:hAnsi="Times New Roman" w:cs="Times New Roman"/>
          <w:noProof/>
          <w:sz w:val="24"/>
          <w:szCs w:val="24"/>
        </w:rPr>
      </w:pPr>
      <w:bookmarkStart w:id="0" w:name="_ENREF_22"/>
      <w:r w:rsidRPr="00B47824">
        <w:rPr>
          <w:rFonts w:ascii="Times New Roman" w:hAnsi="Times New Roman" w:cs="Times New Roman"/>
          <w:b/>
          <w:sz w:val="24"/>
          <w:szCs w:val="24"/>
        </w:rPr>
        <w:t>References</w:t>
      </w:r>
    </w:p>
    <w:p w14:paraId="168BA165" w14:textId="1FEDA7C9" w:rsidR="00D32BAB" w:rsidRPr="00D32BAB" w:rsidRDefault="00D32BAB" w:rsidP="00D32BAB">
      <w:pPr>
        <w:spacing w:after="0" w:line="360" w:lineRule="auto"/>
        <w:ind w:left="720" w:hanging="720"/>
        <w:rPr>
          <w:rFonts w:ascii="Times New Roman" w:hAnsi="Times New Roman" w:cs="Times New Roman"/>
          <w:noProof/>
          <w:sz w:val="24"/>
          <w:szCs w:val="24"/>
        </w:rPr>
      </w:pPr>
      <w:r w:rsidRPr="00E822D6">
        <w:rPr>
          <w:rFonts w:ascii="Times New Roman" w:hAnsi="Times New Roman" w:cs="Times New Roman"/>
          <w:noProof/>
          <w:sz w:val="24"/>
          <w:szCs w:val="24"/>
        </w:rPr>
        <w:t xml:space="preserve">Haller, S. P., Raeder, S. M., Scerif, G., Kadosh, K. C., &amp; Lau, J. Y. (2016). </w:t>
      </w:r>
      <w:r w:rsidRPr="00D32BAB">
        <w:rPr>
          <w:rFonts w:ascii="Times New Roman" w:hAnsi="Times New Roman" w:cs="Times New Roman"/>
          <w:noProof/>
          <w:sz w:val="24"/>
          <w:szCs w:val="24"/>
        </w:rPr>
        <w:t xml:space="preserve">Measuring online interpretations and attributions of social situations: Links with adolescent social anxiety. </w:t>
      </w:r>
      <w:r w:rsidRPr="00D32BAB">
        <w:rPr>
          <w:rFonts w:ascii="Times New Roman" w:hAnsi="Times New Roman" w:cs="Times New Roman"/>
          <w:i/>
          <w:noProof/>
          <w:sz w:val="24"/>
          <w:szCs w:val="24"/>
        </w:rPr>
        <w:t>Journal of Behavior Therapy and Experimental Psychiatry, 50</w:t>
      </w:r>
      <w:r w:rsidR="00B47824">
        <w:rPr>
          <w:rFonts w:ascii="Times New Roman" w:hAnsi="Times New Roman" w:cs="Times New Roman"/>
          <w:noProof/>
          <w:sz w:val="24"/>
          <w:szCs w:val="24"/>
        </w:rPr>
        <w:t xml:space="preserve">, 250-256. doi: </w:t>
      </w:r>
      <w:r w:rsidRPr="00D32BAB">
        <w:rPr>
          <w:rFonts w:ascii="Times New Roman" w:hAnsi="Times New Roman" w:cs="Times New Roman"/>
          <w:noProof/>
          <w:sz w:val="24"/>
          <w:szCs w:val="24"/>
        </w:rPr>
        <w:t>10.1016/j.jbtep.2015.09.009</w:t>
      </w:r>
      <w:bookmarkEnd w:id="0"/>
    </w:p>
    <w:p w14:paraId="1DB3BDD5" w14:textId="5A3AB4E8" w:rsidR="00D32BAB" w:rsidRPr="007458C1" w:rsidRDefault="00D32BAB" w:rsidP="007458C1">
      <w:pPr>
        <w:spacing w:after="0" w:line="360" w:lineRule="auto"/>
        <w:ind w:left="720" w:hanging="720"/>
        <w:rPr>
          <w:rFonts w:ascii="Times New Roman" w:hAnsi="Times New Roman" w:cs="Times New Roman"/>
          <w:noProof/>
          <w:sz w:val="24"/>
          <w:szCs w:val="24"/>
        </w:rPr>
      </w:pPr>
      <w:proofErr w:type="gramStart"/>
      <w:r w:rsidRPr="00D32BAB">
        <w:rPr>
          <w:rFonts w:ascii="Times New Roman" w:hAnsi="Times New Roman" w:cs="Times New Roman"/>
          <w:sz w:val="24"/>
          <w:szCs w:val="24"/>
        </w:rPr>
        <w:t xml:space="preserve">Haller, S. P., Doherty, B. R., Duta, M., </w:t>
      </w:r>
      <w:proofErr w:type="spellStart"/>
      <w:r w:rsidRPr="00D32BAB">
        <w:rPr>
          <w:rFonts w:ascii="Times New Roman" w:hAnsi="Times New Roman" w:cs="Times New Roman"/>
          <w:sz w:val="24"/>
          <w:szCs w:val="24"/>
        </w:rPr>
        <w:t>Kadosh</w:t>
      </w:r>
      <w:proofErr w:type="spellEnd"/>
      <w:r w:rsidRPr="00D32BAB">
        <w:rPr>
          <w:rFonts w:ascii="Times New Roman" w:hAnsi="Times New Roman" w:cs="Times New Roman"/>
          <w:sz w:val="24"/>
          <w:szCs w:val="24"/>
        </w:rPr>
        <w:t>, K. C., L</w:t>
      </w:r>
      <w:r w:rsidR="00B47824">
        <w:rPr>
          <w:rFonts w:ascii="Times New Roman" w:hAnsi="Times New Roman" w:cs="Times New Roman"/>
          <w:sz w:val="24"/>
          <w:szCs w:val="24"/>
        </w:rPr>
        <w:t xml:space="preserve">au, J. Y., &amp; </w:t>
      </w:r>
      <w:proofErr w:type="spellStart"/>
      <w:r w:rsidR="00B47824">
        <w:rPr>
          <w:rFonts w:ascii="Times New Roman" w:hAnsi="Times New Roman" w:cs="Times New Roman"/>
          <w:sz w:val="24"/>
          <w:szCs w:val="24"/>
        </w:rPr>
        <w:t>Scerif</w:t>
      </w:r>
      <w:proofErr w:type="spellEnd"/>
      <w:r w:rsidR="00B47824">
        <w:rPr>
          <w:rFonts w:ascii="Times New Roman" w:hAnsi="Times New Roman" w:cs="Times New Roman"/>
          <w:sz w:val="24"/>
          <w:szCs w:val="24"/>
        </w:rPr>
        <w:t>, G. (2017).</w:t>
      </w:r>
      <w:proofErr w:type="gramEnd"/>
      <w:r w:rsidR="00B47824">
        <w:rPr>
          <w:rFonts w:ascii="Times New Roman" w:hAnsi="Times New Roman" w:cs="Times New Roman"/>
          <w:sz w:val="24"/>
          <w:szCs w:val="24"/>
        </w:rPr>
        <w:t xml:space="preserve"> </w:t>
      </w:r>
      <w:r w:rsidRPr="00D32BAB">
        <w:rPr>
          <w:rFonts w:ascii="Times New Roman" w:hAnsi="Times New Roman" w:cs="Times New Roman"/>
          <w:sz w:val="24"/>
          <w:szCs w:val="24"/>
        </w:rPr>
        <w:t xml:space="preserve">Attention allocation and social worries predict interpretations of peer-related social cues in adolescents. </w:t>
      </w:r>
      <w:r w:rsidR="00B47824">
        <w:rPr>
          <w:rFonts w:ascii="Times New Roman" w:hAnsi="Times New Roman" w:cs="Times New Roman"/>
          <w:i/>
          <w:iCs/>
          <w:sz w:val="24"/>
          <w:szCs w:val="24"/>
        </w:rPr>
        <w:t>Developmental Cognitive N</w:t>
      </w:r>
      <w:r w:rsidRPr="00D32BAB">
        <w:rPr>
          <w:rFonts w:ascii="Times New Roman" w:hAnsi="Times New Roman" w:cs="Times New Roman"/>
          <w:i/>
          <w:iCs/>
          <w:sz w:val="24"/>
          <w:szCs w:val="24"/>
        </w:rPr>
        <w:t>euroscience</w:t>
      </w:r>
      <w:r w:rsidRPr="00D32BAB">
        <w:rPr>
          <w:rFonts w:ascii="Times New Roman" w:hAnsi="Times New Roman" w:cs="Times New Roman"/>
          <w:sz w:val="24"/>
          <w:szCs w:val="24"/>
        </w:rPr>
        <w:t xml:space="preserve">, </w:t>
      </w:r>
      <w:r w:rsidRPr="00D32BAB">
        <w:rPr>
          <w:rFonts w:ascii="Times New Roman" w:hAnsi="Times New Roman" w:cs="Times New Roman"/>
          <w:i/>
          <w:iCs/>
          <w:sz w:val="24"/>
          <w:szCs w:val="24"/>
        </w:rPr>
        <w:t>25</w:t>
      </w:r>
      <w:r w:rsidRPr="00D32BAB">
        <w:rPr>
          <w:rFonts w:ascii="Times New Roman" w:hAnsi="Times New Roman" w:cs="Times New Roman"/>
          <w:sz w:val="24"/>
          <w:szCs w:val="24"/>
        </w:rPr>
        <w:t>, 105-112.</w:t>
      </w:r>
      <w:r w:rsidR="00B47824">
        <w:rPr>
          <w:rFonts w:ascii="Times New Roman" w:hAnsi="Times New Roman" w:cs="Times New Roman"/>
          <w:sz w:val="24"/>
          <w:szCs w:val="24"/>
        </w:rPr>
        <w:t xml:space="preserve"> </w:t>
      </w:r>
      <w:proofErr w:type="spellStart"/>
      <w:proofErr w:type="gramStart"/>
      <w:r w:rsidR="00B47824">
        <w:rPr>
          <w:rFonts w:ascii="Times New Roman" w:hAnsi="Times New Roman" w:cs="Times New Roman"/>
          <w:sz w:val="24"/>
          <w:szCs w:val="24"/>
        </w:rPr>
        <w:t>doi</w:t>
      </w:r>
      <w:proofErr w:type="spellEnd"/>
      <w:proofErr w:type="gramEnd"/>
      <w:r w:rsidR="00B47824">
        <w:rPr>
          <w:rFonts w:ascii="Times New Roman" w:hAnsi="Times New Roman" w:cs="Times New Roman"/>
          <w:sz w:val="24"/>
          <w:szCs w:val="24"/>
        </w:rPr>
        <w:t xml:space="preserve">: </w:t>
      </w:r>
      <w:hyperlink r:id="rId9" w:tgtFrame="_blank" w:tooltip="Persistent link using digital object identifier" w:history="1">
        <w:r w:rsidR="00B47824" w:rsidRPr="007458C1">
          <w:rPr>
            <w:rFonts w:ascii="Times New Roman" w:hAnsi="Times New Roman" w:cs="Times New Roman"/>
            <w:noProof/>
            <w:sz w:val="24"/>
            <w:szCs w:val="24"/>
          </w:rPr>
          <w:t>10.1016/j.dcn.2017.03.004</w:t>
        </w:r>
      </w:hyperlink>
    </w:p>
    <w:p w14:paraId="209442FF" w14:textId="328B81F6" w:rsidR="007458C1" w:rsidRPr="007458C1" w:rsidRDefault="007458C1" w:rsidP="007458C1">
      <w:pPr>
        <w:autoSpaceDE w:val="0"/>
        <w:autoSpaceDN w:val="0"/>
        <w:adjustRightInd w:val="0"/>
        <w:spacing w:after="0" w:line="360" w:lineRule="auto"/>
        <w:ind w:left="720" w:hanging="720"/>
        <w:rPr>
          <w:rFonts w:ascii="Times New Roman" w:hAnsi="Times New Roman" w:cs="Times New Roman"/>
          <w:sz w:val="24"/>
          <w:szCs w:val="24"/>
        </w:rPr>
      </w:pPr>
      <w:proofErr w:type="gramStart"/>
      <w:r w:rsidRPr="007458C1">
        <w:rPr>
          <w:rFonts w:ascii="Times New Roman" w:hAnsi="Times New Roman" w:cs="Times New Roman"/>
          <w:sz w:val="24"/>
          <w:szCs w:val="24"/>
        </w:rPr>
        <w:t>Psychology Software Tools.</w:t>
      </w:r>
      <w:proofErr w:type="gramEnd"/>
      <w:r w:rsidRPr="007458C1">
        <w:rPr>
          <w:rFonts w:ascii="Times New Roman" w:hAnsi="Times New Roman" w:cs="Times New Roman"/>
          <w:sz w:val="24"/>
          <w:szCs w:val="24"/>
        </w:rPr>
        <w:t xml:space="preserve"> </w:t>
      </w:r>
      <w:proofErr w:type="gramStart"/>
      <w:r w:rsidRPr="007458C1">
        <w:rPr>
          <w:rFonts w:ascii="Times New Roman" w:hAnsi="Times New Roman" w:cs="Times New Roman"/>
          <w:sz w:val="24"/>
          <w:szCs w:val="24"/>
        </w:rPr>
        <w:t>(2013). E</w:t>
      </w:r>
      <w:r>
        <w:rPr>
          <w:rFonts w:ascii="Times New Roman" w:hAnsi="Times New Roman" w:cs="Times New Roman"/>
          <w:sz w:val="24"/>
          <w:szCs w:val="24"/>
        </w:rPr>
        <w:t>-Prime 2.0 [Computer software].</w:t>
      </w:r>
      <w:proofErr w:type="gramEnd"/>
      <w:r>
        <w:rPr>
          <w:rFonts w:ascii="Times New Roman" w:hAnsi="Times New Roman" w:cs="Times New Roman"/>
          <w:sz w:val="24"/>
          <w:szCs w:val="24"/>
        </w:rPr>
        <w:t xml:space="preserve"> </w:t>
      </w:r>
      <w:r w:rsidRPr="007458C1">
        <w:rPr>
          <w:rFonts w:ascii="Times New Roman" w:hAnsi="Times New Roman" w:cs="Times New Roman"/>
          <w:sz w:val="24"/>
          <w:szCs w:val="24"/>
        </w:rPr>
        <w:t>Sharpsburg, PA: Author.</w:t>
      </w:r>
    </w:p>
    <w:p w14:paraId="55902942" w14:textId="77777777" w:rsidR="00D32BAB" w:rsidRPr="00AA3F9B" w:rsidRDefault="00D32BAB" w:rsidP="005562B5">
      <w:pPr>
        <w:autoSpaceDE w:val="0"/>
        <w:autoSpaceDN w:val="0"/>
        <w:adjustRightInd w:val="0"/>
        <w:spacing w:line="360" w:lineRule="auto"/>
        <w:rPr>
          <w:rFonts w:ascii="Times New Roman" w:hAnsi="Times New Roman" w:cs="Times New Roman"/>
          <w:sz w:val="24"/>
          <w:szCs w:val="24"/>
        </w:rPr>
      </w:pPr>
    </w:p>
    <w:p w14:paraId="0060D40E" w14:textId="77777777" w:rsidR="00D32BAB" w:rsidRDefault="00D32BAB">
      <w:pPr>
        <w:rPr>
          <w:rFonts w:ascii="Times New Roman" w:hAnsi="Times New Roman" w:cs="Times New Roman"/>
          <w:b/>
          <w:sz w:val="24"/>
          <w:szCs w:val="24"/>
        </w:rPr>
      </w:pPr>
      <w:r>
        <w:rPr>
          <w:rFonts w:ascii="Times New Roman" w:hAnsi="Times New Roman" w:cs="Times New Roman"/>
          <w:b/>
          <w:sz w:val="24"/>
          <w:szCs w:val="24"/>
        </w:rPr>
        <w:br w:type="page"/>
      </w:r>
    </w:p>
    <w:p w14:paraId="0C160393" w14:textId="7256A35B" w:rsidR="00CD0A15" w:rsidRPr="00CD0A15" w:rsidRDefault="00CD0A15" w:rsidP="006E1878">
      <w:pPr>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Supplement </w:t>
      </w:r>
      <w:r w:rsidR="00A956BF">
        <w:rPr>
          <w:rFonts w:ascii="Times New Roman" w:hAnsi="Times New Roman" w:cs="Times New Roman"/>
          <w:b/>
          <w:sz w:val="24"/>
          <w:szCs w:val="24"/>
        </w:rPr>
        <w:t>2</w:t>
      </w:r>
      <w:r w:rsidRPr="00B72864">
        <w:rPr>
          <w:rFonts w:ascii="Times New Roman" w:hAnsi="Times New Roman" w:cs="Times New Roman"/>
          <w:b/>
          <w:sz w:val="24"/>
          <w:szCs w:val="24"/>
        </w:rPr>
        <w:t xml:space="preserve">: </w:t>
      </w:r>
      <w:r>
        <w:rPr>
          <w:rFonts w:ascii="Times New Roman" w:hAnsi="Times New Roman" w:cs="Times New Roman"/>
          <w:b/>
          <w:sz w:val="24"/>
          <w:szCs w:val="24"/>
        </w:rPr>
        <w:t>Results of the mood induction</w:t>
      </w:r>
    </w:p>
    <w:p w14:paraId="4393D0E7" w14:textId="4719B1A8" w:rsidR="00AB2CB1" w:rsidRDefault="00AB2CB1" w:rsidP="006E1878">
      <w:pPr>
        <w:spacing w:line="360" w:lineRule="auto"/>
        <w:rPr>
          <w:rFonts w:ascii="Times New Roman" w:hAnsi="Times New Roman" w:cs="Times New Roman"/>
          <w:sz w:val="24"/>
          <w:szCs w:val="24"/>
        </w:rPr>
      </w:pPr>
      <w:r>
        <w:rPr>
          <w:rFonts w:ascii="Times New Roman" w:hAnsi="Times New Roman" w:cs="Times New Roman"/>
          <w:sz w:val="24"/>
          <w:szCs w:val="24"/>
        </w:rPr>
        <w:t xml:space="preserve">Mood was assessed five times during the experimental session </w:t>
      </w:r>
      <w:r w:rsidR="00CD0A15">
        <w:rPr>
          <w:rFonts w:ascii="Times New Roman" w:hAnsi="Times New Roman" w:cs="Times New Roman"/>
          <w:sz w:val="24"/>
          <w:szCs w:val="24"/>
        </w:rPr>
        <w:t xml:space="preserve">(see </w:t>
      </w:r>
      <w:r w:rsidR="009142E1">
        <w:rPr>
          <w:rFonts w:ascii="Times New Roman" w:hAnsi="Times New Roman" w:cs="Times New Roman"/>
          <w:sz w:val="24"/>
          <w:szCs w:val="24"/>
        </w:rPr>
        <w:t>Sfärlea et al., 2019, Supplement 5</w:t>
      </w:r>
      <w:r w:rsidR="00CD0A15">
        <w:rPr>
          <w:rFonts w:ascii="Times New Roman" w:hAnsi="Times New Roman" w:cs="Times New Roman"/>
          <w:sz w:val="24"/>
          <w:szCs w:val="24"/>
        </w:rPr>
        <w:t xml:space="preserve">) </w:t>
      </w:r>
      <w:r>
        <w:rPr>
          <w:rFonts w:ascii="Times New Roman" w:hAnsi="Times New Roman" w:cs="Times New Roman"/>
          <w:sz w:val="24"/>
          <w:szCs w:val="24"/>
        </w:rPr>
        <w:t xml:space="preserve">using the valence dimension of the 9-point </w:t>
      </w:r>
      <w:r w:rsidRPr="004B4CBB">
        <w:rPr>
          <w:rFonts w:ascii="Times New Roman" w:hAnsi="Times New Roman" w:cs="Times New Roman"/>
          <w:sz w:val="24"/>
          <w:szCs w:val="24"/>
        </w:rPr>
        <w:t>Self-Assessment Mannequin scale</w:t>
      </w:r>
      <w:r>
        <w:rPr>
          <w:rFonts w:ascii="Times New Roman" w:hAnsi="Times New Roman" w:cs="Times New Roman"/>
          <w:sz w:val="24"/>
          <w:szCs w:val="24"/>
        </w:rPr>
        <w:t xml:space="preserve"> (Lang, 1980)</w:t>
      </w:r>
      <w:r w:rsidR="00AE521F">
        <w:rPr>
          <w:rFonts w:ascii="Times New Roman" w:hAnsi="Times New Roman" w:cs="Times New Roman"/>
          <w:sz w:val="24"/>
          <w:szCs w:val="24"/>
        </w:rPr>
        <w:t xml:space="preserve">. In addition to calculating </w:t>
      </w:r>
      <w:r w:rsidR="00AE521F" w:rsidRPr="00AE521F">
        <w:rPr>
          <w:rFonts w:ascii="Times New Roman" w:hAnsi="Times New Roman" w:cs="Times New Roman"/>
          <w:i/>
          <w:sz w:val="24"/>
          <w:szCs w:val="24"/>
        </w:rPr>
        <w:t>t</w:t>
      </w:r>
      <w:r w:rsidR="00AE521F">
        <w:rPr>
          <w:rFonts w:ascii="Times New Roman" w:hAnsi="Times New Roman" w:cs="Times New Roman"/>
          <w:sz w:val="24"/>
          <w:szCs w:val="24"/>
        </w:rPr>
        <w:t xml:space="preserve">-tests comparing the baseline mood (mood before first mood induction: Time 1) with mood after the mood inductions (Time 2 and Time 3) across groups (results presented in the main text), we also </w:t>
      </w:r>
      <w:r>
        <w:rPr>
          <w:rFonts w:ascii="Times New Roman" w:hAnsi="Times New Roman" w:cs="Times New Roman"/>
          <w:sz w:val="24"/>
          <w:szCs w:val="24"/>
        </w:rPr>
        <w:t xml:space="preserve">analysed </w:t>
      </w:r>
      <w:r w:rsidR="00AE521F">
        <w:rPr>
          <w:rFonts w:ascii="Times New Roman" w:hAnsi="Times New Roman" w:cs="Times New Roman"/>
          <w:sz w:val="24"/>
          <w:szCs w:val="24"/>
        </w:rPr>
        <w:t>mood using a</w:t>
      </w:r>
      <w:r w:rsidR="009D5BC6" w:rsidRPr="009D5BC6">
        <w:rPr>
          <w:rFonts w:ascii="Times New Roman" w:hAnsi="Times New Roman" w:cs="Times New Roman"/>
          <w:smallCaps/>
          <w:sz w:val="24"/>
          <w:szCs w:val="24"/>
        </w:rPr>
        <w:t xml:space="preserve"> </w:t>
      </w:r>
      <w:r w:rsidR="009D5BC6">
        <w:rPr>
          <w:rFonts w:ascii="Times New Roman" w:hAnsi="Times New Roman" w:cs="Times New Roman"/>
          <w:smallCaps/>
          <w:sz w:val="24"/>
          <w:szCs w:val="24"/>
        </w:rPr>
        <w:t>Time</w:t>
      </w:r>
      <w:r w:rsidR="009D5BC6">
        <w:rPr>
          <w:rFonts w:ascii="Times New Roman" w:hAnsi="Times New Roman" w:cs="Times New Roman"/>
          <w:sz w:val="24"/>
          <w:szCs w:val="24"/>
        </w:rPr>
        <w:t xml:space="preserve"> (5) × </w:t>
      </w:r>
      <w:r w:rsidR="009D5BC6" w:rsidRPr="009369A1">
        <w:rPr>
          <w:rFonts w:ascii="Times New Roman" w:hAnsi="Times New Roman" w:cs="Times New Roman"/>
          <w:smallCaps/>
          <w:sz w:val="24"/>
          <w:szCs w:val="24"/>
        </w:rPr>
        <w:t>Group</w:t>
      </w:r>
      <w:r w:rsidR="009142E1">
        <w:rPr>
          <w:rFonts w:ascii="Times New Roman" w:hAnsi="Times New Roman" w:cs="Times New Roman"/>
          <w:sz w:val="24"/>
          <w:szCs w:val="24"/>
        </w:rPr>
        <w:t xml:space="preserve"> (3</w:t>
      </w:r>
      <w:r w:rsidR="00AE521F">
        <w:rPr>
          <w:rFonts w:ascii="Times New Roman" w:hAnsi="Times New Roman" w:cs="Times New Roman"/>
          <w:sz w:val="24"/>
          <w:szCs w:val="24"/>
        </w:rPr>
        <w:t>) ANOVA to investigate if the mood induction procedure had the same impact on mood in all three groups.</w:t>
      </w:r>
    </w:p>
    <w:p w14:paraId="2CE1F294" w14:textId="3FC14CC1" w:rsidR="00EA7BAA" w:rsidRDefault="000A034E" w:rsidP="00101E00">
      <w:pPr>
        <w:spacing w:line="360" w:lineRule="auto"/>
        <w:rPr>
          <w:rFonts w:ascii="Times New Roman" w:hAnsi="Times New Roman" w:cs="Times New Roman"/>
          <w:sz w:val="24"/>
          <w:szCs w:val="24"/>
        </w:rPr>
      </w:pPr>
      <w:r>
        <w:rPr>
          <w:rFonts w:ascii="Times New Roman" w:hAnsi="Times New Roman" w:cs="Times New Roman"/>
          <w:sz w:val="24"/>
          <w:szCs w:val="24"/>
        </w:rPr>
        <w:t>The</w:t>
      </w:r>
      <w:r w:rsidR="00101E00">
        <w:rPr>
          <w:rFonts w:ascii="Times New Roman" w:hAnsi="Times New Roman" w:cs="Times New Roman"/>
          <w:sz w:val="24"/>
          <w:szCs w:val="24"/>
        </w:rPr>
        <w:t xml:space="preserve"> ANOVA yielded a significant main effect of </w:t>
      </w:r>
      <w:r w:rsidR="00101E00">
        <w:rPr>
          <w:rFonts w:ascii="Times New Roman" w:hAnsi="Times New Roman" w:cs="Times New Roman"/>
          <w:smallCaps/>
          <w:sz w:val="24"/>
          <w:szCs w:val="24"/>
        </w:rPr>
        <w:t>Time</w:t>
      </w:r>
      <w:r w:rsidR="00101E00">
        <w:rPr>
          <w:rFonts w:ascii="Times New Roman" w:hAnsi="Times New Roman" w:cs="Times New Roman"/>
          <w:sz w:val="24"/>
          <w:szCs w:val="24"/>
        </w:rPr>
        <w:t xml:space="preserve"> (</w:t>
      </w:r>
      <w:r w:rsidR="00101E00" w:rsidRPr="002D2FAE">
        <w:rPr>
          <w:rFonts w:ascii="Times New Roman" w:hAnsi="Times New Roman" w:cs="Times New Roman"/>
          <w:i/>
          <w:sz w:val="24"/>
          <w:szCs w:val="24"/>
        </w:rPr>
        <w:t>F</w:t>
      </w:r>
      <w:r w:rsidR="009142E1">
        <w:rPr>
          <w:rFonts w:ascii="Times New Roman" w:hAnsi="Times New Roman" w:cs="Times New Roman"/>
          <w:sz w:val="24"/>
          <w:szCs w:val="24"/>
          <w:vertAlign w:val="subscript"/>
        </w:rPr>
        <w:t>2.1,251.3</w:t>
      </w:r>
      <w:r w:rsidR="009142E1">
        <w:rPr>
          <w:rFonts w:ascii="Times New Roman" w:hAnsi="Times New Roman" w:cs="Times New Roman"/>
          <w:sz w:val="24"/>
          <w:szCs w:val="24"/>
        </w:rPr>
        <w:t xml:space="preserve"> = 56.1</w:t>
      </w:r>
      <w:r w:rsidR="00EA7BAA">
        <w:rPr>
          <w:rFonts w:ascii="Times New Roman" w:hAnsi="Times New Roman" w:cs="Times New Roman"/>
          <w:sz w:val="24"/>
          <w:szCs w:val="24"/>
        </w:rPr>
        <w:t>,</w:t>
      </w:r>
      <w:r w:rsidR="00101E00">
        <w:rPr>
          <w:rFonts w:ascii="Times New Roman" w:hAnsi="Times New Roman" w:cs="Times New Roman"/>
          <w:sz w:val="24"/>
          <w:szCs w:val="24"/>
        </w:rPr>
        <w:t xml:space="preserve"> </w:t>
      </w:r>
      <w:r w:rsidR="00101E00" w:rsidRPr="002D2FAE">
        <w:rPr>
          <w:rFonts w:ascii="Times New Roman" w:hAnsi="Times New Roman" w:cs="Times New Roman"/>
          <w:i/>
          <w:sz w:val="24"/>
          <w:szCs w:val="24"/>
        </w:rPr>
        <w:t>p</w:t>
      </w:r>
      <w:r w:rsidR="00101E00">
        <w:rPr>
          <w:rFonts w:ascii="Times New Roman" w:hAnsi="Times New Roman" w:cs="Times New Roman"/>
          <w:sz w:val="24"/>
          <w:szCs w:val="24"/>
        </w:rPr>
        <w:t xml:space="preserve"> &lt; .001</w:t>
      </w:r>
      <w:r w:rsidR="00EA7BAA">
        <w:rPr>
          <w:rFonts w:ascii="Times New Roman" w:hAnsi="Times New Roman" w:cs="Times New Roman"/>
          <w:sz w:val="24"/>
          <w:szCs w:val="24"/>
        </w:rPr>
        <w:t>,</w:t>
      </w:r>
      <w:r w:rsidR="009142E1">
        <w:rPr>
          <w:rFonts w:ascii="Times New Roman" w:hAnsi="Times New Roman" w:cs="Times New Roman"/>
          <w:sz w:val="24"/>
          <w:szCs w:val="24"/>
        </w:rPr>
        <w:t xml:space="preserve"> </w:t>
      </w:r>
      <w:r w:rsidR="009142E1" w:rsidRPr="00040320">
        <w:rPr>
          <w:rFonts w:ascii="Times New Roman" w:hAnsi="Times New Roman" w:cs="Times New Roman"/>
          <w:i/>
          <w:sz w:val="24"/>
          <w:szCs w:val="24"/>
          <w:lang w:val="en-US"/>
        </w:rPr>
        <w:t>η</w:t>
      </w:r>
      <w:r w:rsidR="009142E1" w:rsidRPr="009142E1">
        <w:rPr>
          <w:rFonts w:ascii="Times New Roman" w:hAnsi="Times New Roman" w:cs="Times New Roman"/>
          <w:i/>
          <w:sz w:val="24"/>
          <w:szCs w:val="24"/>
          <w:vertAlign w:val="subscript"/>
          <w:lang w:val="en-US"/>
        </w:rPr>
        <w:t>p</w:t>
      </w:r>
      <w:r w:rsidR="009142E1" w:rsidRPr="00040320">
        <w:rPr>
          <w:rFonts w:ascii="Times New Roman" w:hAnsi="Times New Roman" w:cs="Times New Roman"/>
          <w:i/>
          <w:sz w:val="24"/>
          <w:szCs w:val="24"/>
          <w:lang w:val="en-US"/>
        </w:rPr>
        <w:t>²</w:t>
      </w:r>
      <w:r w:rsidR="009142E1">
        <w:rPr>
          <w:rFonts w:ascii="Times New Roman" w:hAnsi="Times New Roman" w:cs="Times New Roman"/>
          <w:sz w:val="24"/>
          <w:szCs w:val="24"/>
          <w:lang w:val="en-US"/>
        </w:rPr>
        <w:t xml:space="preserve"> = .32</w:t>
      </w:r>
      <w:r w:rsidR="00101E00">
        <w:rPr>
          <w:rFonts w:ascii="Times New Roman" w:hAnsi="Times New Roman" w:cs="Times New Roman"/>
          <w:sz w:val="24"/>
          <w:szCs w:val="24"/>
        </w:rPr>
        <w:t>)</w:t>
      </w:r>
      <w:r w:rsidR="009142E1">
        <w:rPr>
          <w:rFonts w:ascii="Times New Roman" w:hAnsi="Times New Roman" w:cs="Times New Roman"/>
          <w:sz w:val="24"/>
          <w:szCs w:val="24"/>
        </w:rPr>
        <w:t xml:space="preserve">, a significant main effect of </w:t>
      </w:r>
      <w:r w:rsidR="00101E00">
        <w:rPr>
          <w:rFonts w:ascii="Times New Roman" w:hAnsi="Times New Roman" w:cs="Times New Roman"/>
          <w:sz w:val="24"/>
          <w:szCs w:val="24"/>
        </w:rPr>
        <w:t xml:space="preserve"> </w:t>
      </w:r>
      <w:r w:rsidR="009142E1" w:rsidRPr="009369A1">
        <w:rPr>
          <w:rFonts w:ascii="Times New Roman" w:hAnsi="Times New Roman" w:cs="Times New Roman"/>
          <w:smallCaps/>
          <w:sz w:val="24"/>
          <w:szCs w:val="24"/>
        </w:rPr>
        <w:t>Group</w:t>
      </w:r>
      <w:r w:rsidR="009142E1">
        <w:rPr>
          <w:rFonts w:ascii="Times New Roman" w:hAnsi="Times New Roman" w:cs="Times New Roman"/>
          <w:sz w:val="24"/>
          <w:szCs w:val="24"/>
        </w:rPr>
        <w:t xml:space="preserve"> (</w:t>
      </w:r>
      <w:r w:rsidR="009142E1" w:rsidRPr="002D2FAE">
        <w:rPr>
          <w:rFonts w:ascii="Times New Roman" w:hAnsi="Times New Roman" w:cs="Times New Roman"/>
          <w:i/>
          <w:sz w:val="24"/>
          <w:szCs w:val="24"/>
        </w:rPr>
        <w:t>F</w:t>
      </w:r>
      <w:r w:rsidR="009142E1">
        <w:rPr>
          <w:rFonts w:ascii="Times New Roman" w:hAnsi="Times New Roman" w:cs="Times New Roman"/>
          <w:sz w:val="24"/>
          <w:szCs w:val="24"/>
          <w:vertAlign w:val="subscript"/>
        </w:rPr>
        <w:t>2,118</w:t>
      </w:r>
      <w:r w:rsidR="009142E1">
        <w:rPr>
          <w:rFonts w:ascii="Times New Roman" w:hAnsi="Times New Roman" w:cs="Times New Roman"/>
          <w:sz w:val="24"/>
          <w:szCs w:val="24"/>
        </w:rPr>
        <w:t xml:space="preserve"> </w:t>
      </w:r>
      <w:r w:rsidR="00E203C6">
        <w:rPr>
          <w:rFonts w:ascii="Times New Roman" w:hAnsi="Times New Roman" w:cs="Times New Roman"/>
          <w:sz w:val="24"/>
          <w:szCs w:val="24"/>
        </w:rPr>
        <w:t xml:space="preserve">= </w:t>
      </w:r>
      <w:r w:rsidR="009142E1">
        <w:rPr>
          <w:rFonts w:ascii="Times New Roman" w:hAnsi="Times New Roman" w:cs="Times New Roman"/>
          <w:sz w:val="24"/>
          <w:szCs w:val="24"/>
        </w:rPr>
        <w:t>59.1</w:t>
      </w:r>
      <w:r w:rsidR="00EA7BAA">
        <w:rPr>
          <w:rFonts w:ascii="Times New Roman" w:hAnsi="Times New Roman" w:cs="Times New Roman"/>
          <w:sz w:val="24"/>
          <w:szCs w:val="24"/>
        </w:rPr>
        <w:t>,</w:t>
      </w:r>
      <w:r w:rsidR="009142E1">
        <w:rPr>
          <w:rFonts w:ascii="Times New Roman" w:hAnsi="Times New Roman" w:cs="Times New Roman"/>
          <w:sz w:val="24"/>
          <w:szCs w:val="24"/>
        </w:rPr>
        <w:t xml:space="preserve"> </w:t>
      </w:r>
      <w:r w:rsidR="009142E1" w:rsidRPr="002D2FAE">
        <w:rPr>
          <w:rFonts w:ascii="Times New Roman" w:hAnsi="Times New Roman" w:cs="Times New Roman"/>
          <w:i/>
          <w:sz w:val="24"/>
          <w:szCs w:val="24"/>
        </w:rPr>
        <w:t>p</w:t>
      </w:r>
      <w:r w:rsidR="009142E1">
        <w:rPr>
          <w:rFonts w:ascii="Times New Roman" w:hAnsi="Times New Roman" w:cs="Times New Roman"/>
          <w:sz w:val="24"/>
          <w:szCs w:val="24"/>
        </w:rPr>
        <w:t xml:space="preserve"> &lt; .001</w:t>
      </w:r>
      <w:r w:rsidR="00EA7BAA">
        <w:rPr>
          <w:rFonts w:ascii="Times New Roman" w:hAnsi="Times New Roman" w:cs="Times New Roman"/>
          <w:sz w:val="24"/>
          <w:szCs w:val="24"/>
        </w:rPr>
        <w:t>,</w:t>
      </w:r>
      <w:r w:rsidR="009142E1">
        <w:rPr>
          <w:rFonts w:ascii="Times New Roman" w:hAnsi="Times New Roman" w:cs="Times New Roman"/>
          <w:sz w:val="24"/>
          <w:szCs w:val="24"/>
        </w:rPr>
        <w:t xml:space="preserve"> </w:t>
      </w:r>
      <w:r w:rsidR="009142E1" w:rsidRPr="00040320">
        <w:rPr>
          <w:rFonts w:ascii="Times New Roman" w:hAnsi="Times New Roman" w:cs="Times New Roman"/>
          <w:i/>
          <w:sz w:val="24"/>
          <w:szCs w:val="24"/>
          <w:lang w:val="en-US"/>
        </w:rPr>
        <w:t>η</w:t>
      </w:r>
      <w:r w:rsidR="009142E1" w:rsidRPr="009142E1">
        <w:rPr>
          <w:rFonts w:ascii="Times New Roman" w:hAnsi="Times New Roman" w:cs="Times New Roman"/>
          <w:i/>
          <w:sz w:val="24"/>
          <w:szCs w:val="24"/>
          <w:vertAlign w:val="subscript"/>
          <w:lang w:val="en-US"/>
        </w:rPr>
        <w:t>p</w:t>
      </w:r>
      <w:r w:rsidR="009142E1" w:rsidRPr="00040320">
        <w:rPr>
          <w:rFonts w:ascii="Times New Roman" w:hAnsi="Times New Roman" w:cs="Times New Roman"/>
          <w:i/>
          <w:sz w:val="24"/>
          <w:szCs w:val="24"/>
          <w:lang w:val="en-US"/>
        </w:rPr>
        <w:t>²</w:t>
      </w:r>
      <w:r w:rsidR="009142E1">
        <w:rPr>
          <w:rFonts w:ascii="Times New Roman" w:hAnsi="Times New Roman" w:cs="Times New Roman"/>
          <w:sz w:val="24"/>
          <w:szCs w:val="24"/>
          <w:lang w:val="en-US"/>
        </w:rPr>
        <w:t xml:space="preserve"> = .50</w:t>
      </w:r>
      <w:r w:rsidR="00E203C6">
        <w:rPr>
          <w:rFonts w:ascii="Times New Roman" w:hAnsi="Times New Roman" w:cs="Times New Roman"/>
          <w:sz w:val="24"/>
          <w:szCs w:val="24"/>
        </w:rPr>
        <w:t>), resulting from the MD group reporting more negative mood tha</w:t>
      </w:r>
      <w:r w:rsidR="004B7808">
        <w:rPr>
          <w:rFonts w:ascii="Times New Roman" w:hAnsi="Times New Roman" w:cs="Times New Roman"/>
          <w:sz w:val="24"/>
          <w:szCs w:val="24"/>
        </w:rPr>
        <w:t>n</w:t>
      </w:r>
      <w:r w:rsidR="00E203C6">
        <w:rPr>
          <w:rFonts w:ascii="Times New Roman" w:hAnsi="Times New Roman" w:cs="Times New Roman"/>
          <w:sz w:val="24"/>
          <w:szCs w:val="24"/>
        </w:rPr>
        <w:t xml:space="preserve"> the HR (</w:t>
      </w:r>
      <w:r w:rsidR="00E203C6" w:rsidRPr="00040320">
        <w:rPr>
          <w:rFonts w:ascii="Times New Roman" w:hAnsi="Times New Roman" w:cs="Times New Roman"/>
          <w:i/>
          <w:sz w:val="24"/>
          <w:szCs w:val="24"/>
          <w:lang w:val="en-US"/>
        </w:rPr>
        <w:t>t</w:t>
      </w:r>
      <w:r w:rsidR="00E203C6">
        <w:rPr>
          <w:rFonts w:ascii="Times New Roman" w:hAnsi="Times New Roman" w:cs="Times New Roman"/>
          <w:sz w:val="24"/>
          <w:szCs w:val="24"/>
          <w:vertAlign w:val="subscript"/>
          <w:lang w:val="en-US"/>
        </w:rPr>
        <w:t>46.9</w:t>
      </w:r>
      <w:r w:rsidR="00E203C6">
        <w:rPr>
          <w:rFonts w:ascii="Times New Roman" w:hAnsi="Times New Roman" w:cs="Times New Roman"/>
          <w:sz w:val="24"/>
          <w:szCs w:val="24"/>
          <w:lang w:val="en-US"/>
        </w:rPr>
        <w:t xml:space="preserve"> = 8.2</w:t>
      </w:r>
      <w:r w:rsidR="00E203C6" w:rsidRPr="00040320">
        <w:rPr>
          <w:rFonts w:ascii="Times New Roman" w:hAnsi="Times New Roman" w:cs="Times New Roman"/>
          <w:sz w:val="24"/>
          <w:szCs w:val="24"/>
          <w:lang w:val="en-US"/>
        </w:rPr>
        <w:t xml:space="preserve">, </w:t>
      </w:r>
      <w:r w:rsidR="00E203C6" w:rsidRPr="00040320">
        <w:rPr>
          <w:rFonts w:ascii="Times New Roman" w:hAnsi="Times New Roman" w:cs="Times New Roman"/>
          <w:i/>
          <w:sz w:val="24"/>
          <w:szCs w:val="24"/>
          <w:lang w:val="en-US"/>
        </w:rPr>
        <w:t>p</w:t>
      </w:r>
      <w:r w:rsidR="00E203C6" w:rsidRPr="00040320">
        <w:rPr>
          <w:rFonts w:ascii="Times New Roman" w:hAnsi="Times New Roman" w:cs="Times New Roman"/>
          <w:sz w:val="24"/>
          <w:szCs w:val="24"/>
          <w:lang w:val="en-US"/>
        </w:rPr>
        <w:t xml:space="preserve"> &lt; .001</w:t>
      </w:r>
      <w:r w:rsidR="00E203C6">
        <w:rPr>
          <w:rFonts w:ascii="Times New Roman" w:hAnsi="Times New Roman" w:cs="Times New Roman"/>
          <w:sz w:val="24"/>
          <w:szCs w:val="24"/>
        </w:rPr>
        <w:t>) and LR groups (</w:t>
      </w:r>
      <w:r w:rsidR="00E203C6" w:rsidRPr="00040320">
        <w:rPr>
          <w:rFonts w:ascii="Times New Roman" w:hAnsi="Times New Roman" w:cs="Times New Roman"/>
          <w:i/>
          <w:sz w:val="24"/>
          <w:szCs w:val="24"/>
          <w:lang w:val="en-US"/>
        </w:rPr>
        <w:t>t</w:t>
      </w:r>
      <w:r w:rsidR="00E203C6">
        <w:rPr>
          <w:rFonts w:ascii="Times New Roman" w:hAnsi="Times New Roman" w:cs="Times New Roman"/>
          <w:sz w:val="24"/>
          <w:szCs w:val="24"/>
          <w:vertAlign w:val="subscript"/>
          <w:lang w:val="en-US"/>
        </w:rPr>
        <w:t>44.8</w:t>
      </w:r>
      <w:r w:rsidR="00E203C6">
        <w:rPr>
          <w:rFonts w:ascii="Times New Roman" w:hAnsi="Times New Roman" w:cs="Times New Roman"/>
          <w:sz w:val="24"/>
          <w:szCs w:val="24"/>
          <w:lang w:val="en-US"/>
        </w:rPr>
        <w:t xml:space="preserve"> = 8</w:t>
      </w:r>
      <w:r w:rsidR="00E203C6" w:rsidRPr="00040320">
        <w:rPr>
          <w:rFonts w:ascii="Times New Roman" w:hAnsi="Times New Roman" w:cs="Times New Roman"/>
          <w:sz w:val="24"/>
          <w:szCs w:val="24"/>
          <w:lang w:val="en-US"/>
        </w:rPr>
        <w:t xml:space="preserve">.4, </w:t>
      </w:r>
      <w:r w:rsidR="00E203C6" w:rsidRPr="00040320">
        <w:rPr>
          <w:rFonts w:ascii="Times New Roman" w:hAnsi="Times New Roman" w:cs="Times New Roman"/>
          <w:i/>
          <w:sz w:val="24"/>
          <w:szCs w:val="24"/>
          <w:lang w:val="en-US"/>
        </w:rPr>
        <w:t>p</w:t>
      </w:r>
      <w:r w:rsidR="00E203C6" w:rsidRPr="00040320">
        <w:rPr>
          <w:rFonts w:ascii="Times New Roman" w:hAnsi="Times New Roman" w:cs="Times New Roman"/>
          <w:sz w:val="24"/>
          <w:szCs w:val="24"/>
          <w:lang w:val="en-US"/>
        </w:rPr>
        <w:t xml:space="preserve"> &lt; .001</w:t>
      </w:r>
      <w:r w:rsidR="00E203C6">
        <w:rPr>
          <w:rFonts w:ascii="Times New Roman" w:hAnsi="Times New Roman" w:cs="Times New Roman"/>
          <w:sz w:val="24"/>
          <w:szCs w:val="24"/>
          <w:lang w:val="en-US"/>
        </w:rPr>
        <w:t>)</w:t>
      </w:r>
      <w:r w:rsidR="00E203C6">
        <w:rPr>
          <w:rFonts w:ascii="Times New Roman" w:hAnsi="Times New Roman" w:cs="Times New Roman"/>
          <w:sz w:val="24"/>
          <w:szCs w:val="24"/>
        </w:rPr>
        <w:t xml:space="preserve">, </w:t>
      </w:r>
      <w:r w:rsidR="009142E1">
        <w:rPr>
          <w:rFonts w:ascii="Times New Roman" w:hAnsi="Times New Roman" w:cs="Times New Roman"/>
          <w:sz w:val="24"/>
          <w:szCs w:val="24"/>
        </w:rPr>
        <w:t xml:space="preserve">as well as </w:t>
      </w:r>
      <w:r w:rsidR="004B7808">
        <w:rPr>
          <w:rFonts w:ascii="Times New Roman" w:hAnsi="Times New Roman" w:cs="Times New Roman"/>
          <w:sz w:val="24"/>
          <w:szCs w:val="24"/>
        </w:rPr>
        <w:t xml:space="preserve">a </w:t>
      </w:r>
      <w:r w:rsidR="009142E1">
        <w:rPr>
          <w:rFonts w:ascii="Times New Roman" w:hAnsi="Times New Roman" w:cs="Times New Roman"/>
          <w:smallCaps/>
          <w:sz w:val="24"/>
          <w:szCs w:val="24"/>
        </w:rPr>
        <w:t>Time</w:t>
      </w:r>
      <w:r w:rsidR="009142E1">
        <w:rPr>
          <w:rFonts w:ascii="Times New Roman" w:hAnsi="Times New Roman" w:cs="Times New Roman"/>
          <w:sz w:val="24"/>
          <w:szCs w:val="24"/>
        </w:rPr>
        <w:t xml:space="preserve"> × </w:t>
      </w:r>
      <w:r w:rsidR="009142E1" w:rsidRPr="009369A1">
        <w:rPr>
          <w:rFonts w:ascii="Times New Roman" w:hAnsi="Times New Roman" w:cs="Times New Roman"/>
          <w:smallCaps/>
          <w:sz w:val="24"/>
          <w:szCs w:val="24"/>
        </w:rPr>
        <w:t>Group</w:t>
      </w:r>
      <w:r w:rsidR="009142E1">
        <w:rPr>
          <w:rFonts w:ascii="Times New Roman" w:hAnsi="Times New Roman" w:cs="Times New Roman"/>
          <w:sz w:val="24"/>
          <w:szCs w:val="24"/>
        </w:rPr>
        <w:t xml:space="preserve"> interaction (</w:t>
      </w:r>
      <w:r w:rsidR="009142E1" w:rsidRPr="002D2FAE">
        <w:rPr>
          <w:rFonts w:ascii="Times New Roman" w:hAnsi="Times New Roman" w:cs="Times New Roman"/>
          <w:i/>
          <w:sz w:val="24"/>
          <w:szCs w:val="24"/>
        </w:rPr>
        <w:t>F</w:t>
      </w:r>
      <w:r w:rsidR="009142E1">
        <w:rPr>
          <w:rFonts w:ascii="Times New Roman" w:hAnsi="Times New Roman" w:cs="Times New Roman"/>
          <w:sz w:val="24"/>
          <w:szCs w:val="24"/>
          <w:vertAlign w:val="subscript"/>
        </w:rPr>
        <w:t>2.1,251.3</w:t>
      </w:r>
      <w:r w:rsidR="009142E1">
        <w:rPr>
          <w:rFonts w:ascii="Times New Roman" w:hAnsi="Times New Roman" w:cs="Times New Roman"/>
          <w:sz w:val="24"/>
          <w:szCs w:val="24"/>
        </w:rPr>
        <w:t xml:space="preserve"> = 9.3</w:t>
      </w:r>
      <w:r w:rsidR="00EA7BAA">
        <w:rPr>
          <w:rFonts w:ascii="Times New Roman" w:hAnsi="Times New Roman" w:cs="Times New Roman"/>
          <w:sz w:val="24"/>
          <w:szCs w:val="24"/>
        </w:rPr>
        <w:t>,</w:t>
      </w:r>
      <w:r w:rsidR="009142E1">
        <w:rPr>
          <w:rFonts w:ascii="Times New Roman" w:hAnsi="Times New Roman" w:cs="Times New Roman"/>
          <w:sz w:val="24"/>
          <w:szCs w:val="24"/>
        </w:rPr>
        <w:t xml:space="preserve"> </w:t>
      </w:r>
      <w:r w:rsidR="009142E1" w:rsidRPr="002D2FAE">
        <w:rPr>
          <w:rFonts w:ascii="Times New Roman" w:hAnsi="Times New Roman" w:cs="Times New Roman"/>
          <w:i/>
          <w:sz w:val="24"/>
          <w:szCs w:val="24"/>
        </w:rPr>
        <w:t>p</w:t>
      </w:r>
      <w:r w:rsidR="009142E1">
        <w:rPr>
          <w:rFonts w:ascii="Times New Roman" w:hAnsi="Times New Roman" w:cs="Times New Roman"/>
          <w:sz w:val="24"/>
          <w:szCs w:val="24"/>
        </w:rPr>
        <w:t xml:space="preserve"> &lt; .001</w:t>
      </w:r>
      <w:r w:rsidR="00EA7BAA">
        <w:rPr>
          <w:rFonts w:ascii="Times New Roman" w:hAnsi="Times New Roman" w:cs="Times New Roman"/>
          <w:sz w:val="24"/>
          <w:szCs w:val="24"/>
        </w:rPr>
        <w:t>,</w:t>
      </w:r>
      <w:r w:rsidR="009142E1">
        <w:rPr>
          <w:rFonts w:ascii="Times New Roman" w:hAnsi="Times New Roman" w:cs="Times New Roman"/>
          <w:sz w:val="24"/>
          <w:szCs w:val="24"/>
        </w:rPr>
        <w:t xml:space="preserve"> </w:t>
      </w:r>
      <w:r w:rsidR="009142E1" w:rsidRPr="00040320">
        <w:rPr>
          <w:rFonts w:ascii="Times New Roman" w:hAnsi="Times New Roman" w:cs="Times New Roman"/>
          <w:i/>
          <w:sz w:val="24"/>
          <w:szCs w:val="24"/>
          <w:lang w:val="en-US"/>
        </w:rPr>
        <w:t>η</w:t>
      </w:r>
      <w:r w:rsidR="009142E1" w:rsidRPr="009142E1">
        <w:rPr>
          <w:rFonts w:ascii="Times New Roman" w:hAnsi="Times New Roman" w:cs="Times New Roman"/>
          <w:i/>
          <w:sz w:val="24"/>
          <w:szCs w:val="24"/>
          <w:vertAlign w:val="subscript"/>
          <w:lang w:val="en-US"/>
        </w:rPr>
        <w:t>p</w:t>
      </w:r>
      <w:r w:rsidR="009142E1" w:rsidRPr="00040320">
        <w:rPr>
          <w:rFonts w:ascii="Times New Roman" w:hAnsi="Times New Roman" w:cs="Times New Roman"/>
          <w:i/>
          <w:sz w:val="24"/>
          <w:szCs w:val="24"/>
          <w:lang w:val="en-US"/>
        </w:rPr>
        <w:t>²</w:t>
      </w:r>
      <w:r w:rsidR="009142E1">
        <w:rPr>
          <w:rFonts w:ascii="Times New Roman" w:hAnsi="Times New Roman" w:cs="Times New Roman"/>
          <w:sz w:val="24"/>
          <w:szCs w:val="24"/>
          <w:lang w:val="en-US"/>
        </w:rPr>
        <w:t xml:space="preserve"> = .14</w:t>
      </w:r>
      <w:r w:rsidR="009142E1">
        <w:rPr>
          <w:rFonts w:ascii="Times New Roman" w:hAnsi="Times New Roman" w:cs="Times New Roman"/>
          <w:sz w:val="24"/>
          <w:szCs w:val="24"/>
        </w:rPr>
        <w:t>)</w:t>
      </w:r>
      <w:r w:rsidR="00EA7BAA">
        <w:rPr>
          <w:rFonts w:ascii="Times New Roman" w:hAnsi="Times New Roman" w:cs="Times New Roman"/>
          <w:sz w:val="24"/>
          <w:szCs w:val="24"/>
        </w:rPr>
        <w:t xml:space="preserve">. To follow-up the interaction, one-way ANOVAs with the factor </w:t>
      </w:r>
      <w:r w:rsidR="00EA7BAA">
        <w:rPr>
          <w:rFonts w:ascii="Times New Roman" w:hAnsi="Times New Roman" w:cs="Times New Roman"/>
          <w:smallCaps/>
          <w:sz w:val="24"/>
          <w:szCs w:val="24"/>
        </w:rPr>
        <w:t>Time</w:t>
      </w:r>
      <w:r w:rsidR="00EA7BAA">
        <w:rPr>
          <w:rFonts w:ascii="Times New Roman" w:hAnsi="Times New Roman" w:cs="Times New Roman"/>
          <w:sz w:val="24"/>
          <w:szCs w:val="24"/>
        </w:rPr>
        <w:t xml:space="preserve"> were performed within each group resulting in significant effects within the HR and LR groups (HR: </w:t>
      </w:r>
      <w:r w:rsidR="00EA7BAA" w:rsidRPr="002D2FAE">
        <w:rPr>
          <w:rFonts w:ascii="Times New Roman" w:hAnsi="Times New Roman" w:cs="Times New Roman"/>
          <w:i/>
          <w:sz w:val="24"/>
          <w:szCs w:val="24"/>
        </w:rPr>
        <w:t>F</w:t>
      </w:r>
      <w:r w:rsidR="00EA7BAA">
        <w:rPr>
          <w:rFonts w:ascii="Times New Roman" w:hAnsi="Times New Roman" w:cs="Times New Roman"/>
          <w:sz w:val="24"/>
          <w:szCs w:val="24"/>
          <w:vertAlign w:val="subscript"/>
        </w:rPr>
        <w:t>2.6</w:t>
      </w:r>
      <w:proofErr w:type="gramStart"/>
      <w:r w:rsidR="00EA7BAA">
        <w:rPr>
          <w:rFonts w:ascii="Times New Roman" w:hAnsi="Times New Roman" w:cs="Times New Roman"/>
          <w:sz w:val="24"/>
          <w:szCs w:val="24"/>
          <w:vertAlign w:val="subscript"/>
        </w:rPr>
        <w:t>,121.7</w:t>
      </w:r>
      <w:proofErr w:type="gramEnd"/>
      <w:r w:rsidR="00EA7BAA">
        <w:rPr>
          <w:rFonts w:ascii="Times New Roman" w:hAnsi="Times New Roman" w:cs="Times New Roman"/>
          <w:sz w:val="24"/>
          <w:szCs w:val="24"/>
          <w:vertAlign w:val="subscript"/>
        </w:rPr>
        <w:t xml:space="preserve"> </w:t>
      </w:r>
      <w:r w:rsidR="00EA7BAA">
        <w:rPr>
          <w:rFonts w:ascii="Times New Roman" w:hAnsi="Times New Roman" w:cs="Times New Roman"/>
          <w:sz w:val="24"/>
          <w:szCs w:val="24"/>
        </w:rPr>
        <w:t xml:space="preserve">= 44.0, </w:t>
      </w:r>
      <w:r w:rsidR="00EA7BAA" w:rsidRPr="002D2FAE">
        <w:rPr>
          <w:rFonts w:ascii="Times New Roman" w:hAnsi="Times New Roman" w:cs="Times New Roman"/>
          <w:i/>
          <w:sz w:val="24"/>
          <w:szCs w:val="24"/>
        </w:rPr>
        <w:t>p</w:t>
      </w:r>
      <w:r w:rsidR="00EA7BAA">
        <w:rPr>
          <w:rFonts w:ascii="Times New Roman" w:hAnsi="Times New Roman" w:cs="Times New Roman"/>
          <w:sz w:val="24"/>
          <w:szCs w:val="24"/>
        </w:rPr>
        <w:t xml:space="preserve"> &lt; .001, </w:t>
      </w:r>
      <w:r w:rsidR="00EA7BAA" w:rsidRPr="00040320">
        <w:rPr>
          <w:rFonts w:ascii="Times New Roman" w:hAnsi="Times New Roman" w:cs="Times New Roman"/>
          <w:i/>
          <w:sz w:val="24"/>
          <w:szCs w:val="24"/>
          <w:lang w:val="en-US"/>
        </w:rPr>
        <w:t>η</w:t>
      </w:r>
      <w:r w:rsidR="00EA7BAA" w:rsidRPr="009142E1">
        <w:rPr>
          <w:rFonts w:ascii="Times New Roman" w:hAnsi="Times New Roman" w:cs="Times New Roman"/>
          <w:i/>
          <w:sz w:val="24"/>
          <w:szCs w:val="24"/>
          <w:vertAlign w:val="subscript"/>
          <w:lang w:val="en-US"/>
        </w:rPr>
        <w:t>p</w:t>
      </w:r>
      <w:r w:rsidR="00EA7BAA" w:rsidRPr="00040320">
        <w:rPr>
          <w:rFonts w:ascii="Times New Roman" w:hAnsi="Times New Roman" w:cs="Times New Roman"/>
          <w:i/>
          <w:sz w:val="24"/>
          <w:szCs w:val="24"/>
          <w:lang w:val="en-US"/>
        </w:rPr>
        <w:t>²</w:t>
      </w:r>
      <w:r w:rsidR="00EA7BAA">
        <w:rPr>
          <w:rFonts w:ascii="Times New Roman" w:hAnsi="Times New Roman" w:cs="Times New Roman"/>
          <w:sz w:val="24"/>
          <w:szCs w:val="24"/>
          <w:lang w:val="en-US"/>
        </w:rPr>
        <w:t xml:space="preserve"> = .48; LR: </w:t>
      </w:r>
      <w:r w:rsidR="00EA7BAA" w:rsidRPr="002D2FAE">
        <w:rPr>
          <w:rFonts w:ascii="Times New Roman" w:hAnsi="Times New Roman" w:cs="Times New Roman"/>
          <w:i/>
          <w:sz w:val="24"/>
          <w:szCs w:val="24"/>
        </w:rPr>
        <w:t>F</w:t>
      </w:r>
      <w:r w:rsidR="00EA7BAA">
        <w:rPr>
          <w:rFonts w:ascii="Times New Roman" w:hAnsi="Times New Roman" w:cs="Times New Roman"/>
          <w:sz w:val="24"/>
          <w:szCs w:val="24"/>
          <w:vertAlign w:val="subscript"/>
        </w:rPr>
        <w:t xml:space="preserve">1.6,64.5 </w:t>
      </w:r>
      <w:r w:rsidR="00EA7BAA">
        <w:rPr>
          <w:rFonts w:ascii="Times New Roman" w:hAnsi="Times New Roman" w:cs="Times New Roman"/>
          <w:sz w:val="24"/>
          <w:szCs w:val="24"/>
        </w:rPr>
        <w:t xml:space="preserve">= 33.8, </w:t>
      </w:r>
      <w:r w:rsidR="00EA7BAA" w:rsidRPr="002D2FAE">
        <w:rPr>
          <w:rFonts w:ascii="Times New Roman" w:hAnsi="Times New Roman" w:cs="Times New Roman"/>
          <w:i/>
          <w:sz w:val="24"/>
          <w:szCs w:val="24"/>
        </w:rPr>
        <w:t>p</w:t>
      </w:r>
      <w:r w:rsidR="00EA7BAA">
        <w:rPr>
          <w:rFonts w:ascii="Times New Roman" w:hAnsi="Times New Roman" w:cs="Times New Roman"/>
          <w:sz w:val="24"/>
          <w:szCs w:val="24"/>
        </w:rPr>
        <w:t xml:space="preserve"> &lt; .001, </w:t>
      </w:r>
      <w:r w:rsidR="00EA7BAA" w:rsidRPr="00040320">
        <w:rPr>
          <w:rFonts w:ascii="Times New Roman" w:hAnsi="Times New Roman" w:cs="Times New Roman"/>
          <w:i/>
          <w:sz w:val="24"/>
          <w:szCs w:val="24"/>
          <w:lang w:val="en-US"/>
        </w:rPr>
        <w:t>η</w:t>
      </w:r>
      <w:r w:rsidR="00EA7BAA" w:rsidRPr="009142E1">
        <w:rPr>
          <w:rFonts w:ascii="Times New Roman" w:hAnsi="Times New Roman" w:cs="Times New Roman"/>
          <w:i/>
          <w:sz w:val="24"/>
          <w:szCs w:val="24"/>
          <w:vertAlign w:val="subscript"/>
          <w:lang w:val="en-US"/>
        </w:rPr>
        <w:t>p</w:t>
      </w:r>
      <w:r w:rsidR="00EA7BAA" w:rsidRPr="00040320">
        <w:rPr>
          <w:rFonts w:ascii="Times New Roman" w:hAnsi="Times New Roman" w:cs="Times New Roman"/>
          <w:i/>
          <w:sz w:val="24"/>
          <w:szCs w:val="24"/>
          <w:lang w:val="en-US"/>
        </w:rPr>
        <w:t>²</w:t>
      </w:r>
      <w:r w:rsidR="00EA7BAA">
        <w:rPr>
          <w:rFonts w:ascii="Times New Roman" w:hAnsi="Times New Roman" w:cs="Times New Roman"/>
          <w:sz w:val="24"/>
          <w:szCs w:val="24"/>
          <w:lang w:val="en-US"/>
        </w:rPr>
        <w:t xml:space="preserve"> = .45) but not the MD group (</w:t>
      </w:r>
      <w:r w:rsidR="00EA7BAA" w:rsidRPr="002D2FAE">
        <w:rPr>
          <w:rFonts w:ascii="Times New Roman" w:hAnsi="Times New Roman" w:cs="Times New Roman"/>
          <w:i/>
          <w:sz w:val="24"/>
          <w:szCs w:val="24"/>
        </w:rPr>
        <w:t>F</w:t>
      </w:r>
      <w:r w:rsidR="00EA7BAA">
        <w:rPr>
          <w:rFonts w:ascii="Times New Roman" w:hAnsi="Times New Roman" w:cs="Times New Roman"/>
          <w:sz w:val="24"/>
          <w:szCs w:val="24"/>
          <w:vertAlign w:val="subscript"/>
        </w:rPr>
        <w:t xml:space="preserve">2.4,70.7 </w:t>
      </w:r>
      <w:r w:rsidR="00EA7BAA">
        <w:rPr>
          <w:rFonts w:ascii="Times New Roman" w:hAnsi="Times New Roman" w:cs="Times New Roman"/>
          <w:sz w:val="24"/>
          <w:szCs w:val="24"/>
        </w:rPr>
        <w:t xml:space="preserve">= 1.2, </w:t>
      </w:r>
      <w:r w:rsidR="00EA7BAA" w:rsidRPr="002D2FAE">
        <w:rPr>
          <w:rFonts w:ascii="Times New Roman" w:hAnsi="Times New Roman" w:cs="Times New Roman"/>
          <w:i/>
          <w:sz w:val="24"/>
          <w:szCs w:val="24"/>
        </w:rPr>
        <w:t>p</w:t>
      </w:r>
      <w:r w:rsidR="00EA7BAA">
        <w:rPr>
          <w:rFonts w:ascii="Times New Roman" w:hAnsi="Times New Roman" w:cs="Times New Roman"/>
          <w:sz w:val="24"/>
          <w:szCs w:val="24"/>
        </w:rPr>
        <w:t xml:space="preserve"> &gt; .1)</w:t>
      </w:r>
      <w:r>
        <w:rPr>
          <w:rFonts w:ascii="Times New Roman" w:hAnsi="Times New Roman" w:cs="Times New Roman"/>
          <w:sz w:val="24"/>
          <w:szCs w:val="24"/>
        </w:rPr>
        <w:t>. This indicated that</w:t>
      </w:r>
      <w:r w:rsidR="008472F4">
        <w:rPr>
          <w:rFonts w:ascii="Times New Roman" w:hAnsi="Times New Roman" w:cs="Times New Roman"/>
          <w:sz w:val="24"/>
          <w:szCs w:val="24"/>
        </w:rPr>
        <w:t>,</w:t>
      </w:r>
      <w:r>
        <w:rPr>
          <w:rFonts w:ascii="Times New Roman" w:hAnsi="Times New Roman" w:cs="Times New Roman"/>
          <w:sz w:val="24"/>
          <w:szCs w:val="24"/>
        </w:rPr>
        <w:t xml:space="preserve"> in fact, t</w:t>
      </w:r>
      <w:r w:rsidR="00EA7BAA">
        <w:rPr>
          <w:rFonts w:ascii="Times New Roman" w:hAnsi="Times New Roman" w:cs="Times New Roman"/>
          <w:sz w:val="24"/>
          <w:szCs w:val="24"/>
        </w:rPr>
        <w:t>he mood induction</w:t>
      </w:r>
      <w:r>
        <w:rPr>
          <w:rFonts w:ascii="Times New Roman" w:hAnsi="Times New Roman" w:cs="Times New Roman"/>
          <w:sz w:val="24"/>
          <w:szCs w:val="24"/>
        </w:rPr>
        <w:t xml:space="preserve"> only</w:t>
      </w:r>
      <w:r w:rsidR="00EA7BAA">
        <w:rPr>
          <w:rFonts w:ascii="Times New Roman" w:hAnsi="Times New Roman" w:cs="Times New Roman"/>
          <w:sz w:val="24"/>
          <w:szCs w:val="24"/>
        </w:rPr>
        <w:t xml:space="preserve"> influenced the mood of the non-depressed participants while </w:t>
      </w:r>
      <w:r>
        <w:rPr>
          <w:rFonts w:ascii="Times New Roman" w:hAnsi="Times New Roman" w:cs="Times New Roman"/>
          <w:sz w:val="24"/>
          <w:szCs w:val="24"/>
        </w:rPr>
        <w:t>the mood of participants with MD was more negative before the mood induction and remained so throughout the experimental session (see Supplementary Figure 2).</w:t>
      </w:r>
    </w:p>
    <w:p w14:paraId="4CDE1395" w14:textId="4D2DE22D" w:rsidR="00101E00" w:rsidRDefault="009142E1" w:rsidP="00101E00">
      <w:pPr>
        <w:spacing w:line="360" w:lineRule="auto"/>
        <w:rPr>
          <w:rFonts w:ascii="Times New Roman" w:hAnsi="Times New Roman" w:cs="Times New Roman"/>
          <w:sz w:val="20"/>
          <w:szCs w:val="20"/>
        </w:rPr>
      </w:pPr>
      <w:r>
        <w:rPr>
          <w:noProof/>
          <w:lang w:val="de-DE" w:eastAsia="de-DE"/>
        </w:rPr>
        <w:drawing>
          <wp:inline distT="0" distB="0" distL="0" distR="0" wp14:anchorId="434D1EF4" wp14:editId="1FCC346E">
            <wp:extent cx="4572000" cy="2743200"/>
            <wp:effectExtent l="0" t="0" r="19050" b="19050"/>
            <wp:docPr id="2" name="Diagramm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101E00">
        <w:rPr>
          <w:rFonts w:ascii="Times New Roman" w:hAnsi="Times New Roman" w:cs="Times New Roman"/>
          <w:sz w:val="24"/>
          <w:szCs w:val="24"/>
        </w:rPr>
        <w:br/>
      </w:r>
      <w:r>
        <w:rPr>
          <w:rFonts w:ascii="Times New Roman" w:hAnsi="Times New Roman" w:cs="Times New Roman"/>
          <w:b/>
          <w:sz w:val="20"/>
          <w:szCs w:val="20"/>
        </w:rPr>
        <w:t>Supplementary Figure 2</w:t>
      </w:r>
      <w:r w:rsidR="00101E00" w:rsidRPr="002D2FAE">
        <w:rPr>
          <w:rFonts w:ascii="Times New Roman" w:hAnsi="Times New Roman" w:cs="Times New Roman"/>
          <w:b/>
          <w:sz w:val="20"/>
          <w:szCs w:val="20"/>
        </w:rPr>
        <w:t>:</w:t>
      </w:r>
      <w:r w:rsidR="00101E00" w:rsidRPr="002D2FAE">
        <w:rPr>
          <w:rFonts w:ascii="Times New Roman" w:hAnsi="Times New Roman" w:cs="Times New Roman"/>
          <w:sz w:val="20"/>
          <w:szCs w:val="20"/>
        </w:rPr>
        <w:t xml:space="preserve"> </w:t>
      </w:r>
      <w:r w:rsidR="00101E00">
        <w:rPr>
          <w:rFonts w:ascii="Times New Roman" w:hAnsi="Times New Roman" w:cs="Times New Roman"/>
          <w:sz w:val="20"/>
          <w:szCs w:val="20"/>
        </w:rPr>
        <w:t>Mean mood ratings in each of the five mood assessments. Error bars represent standard deviations.</w:t>
      </w:r>
    </w:p>
    <w:p w14:paraId="24DE7C6A" w14:textId="706292AE" w:rsidR="000A034E" w:rsidRDefault="000A034E" w:rsidP="000A034E">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We further conducted post-hoc </w:t>
      </w:r>
      <w:r w:rsidRPr="00483633">
        <w:rPr>
          <w:rFonts w:ascii="Times New Roman" w:hAnsi="Times New Roman" w:cs="Times New Roman"/>
          <w:i/>
          <w:sz w:val="24"/>
          <w:szCs w:val="24"/>
        </w:rPr>
        <w:t>t</w:t>
      </w:r>
      <w:r>
        <w:rPr>
          <w:rFonts w:ascii="Times New Roman" w:hAnsi="Times New Roman" w:cs="Times New Roman"/>
          <w:sz w:val="24"/>
          <w:szCs w:val="24"/>
        </w:rPr>
        <w:t>-tests comparing baseline mood (mood before first mood induction: Time 1) with the other mood assessments in the HR and LR groups. Th</w:t>
      </w:r>
      <w:r w:rsidR="009E2AA3">
        <w:rPr>
          <w:rFonts w:ascii="Times New Roman" w:hAnsi="Times New Roman" w:cs="Times New Roman"/>
          <w:sz w:val="24"/>
          <w:szCs w:val="24"/>
        </w:rPr>
        <w:t>e</w:t>
      </w:r>
      <w:r>
        <w:rPr>
          <w:rFonts w:ascii="Times New Roman" w:hAnsi="Times New Roman" w:cs="Times New Roman"/>
          <w:sz w:val="24"/>
          <w:szCs w:val="24"/>
        </w:rPr>
        <w:t>s</w:t>
      </w:r>
      <w:r w:rsidR="009E2AA3">
        <w:rPr>
          <w:rFonts w:ascii="Times New Roman" w:hAnsi="Times New Roman" w:cs="Times New Roman"/>
          <w:sz w:val="24"/>
          <w:szCs w:val="24"/>
        </w:rPr>
        <w:t>e</w:t>
      </w:r>
      <w:r>
        <w:rPr>
          <w:rFonts w:ascii="Times New Roman" w:hAnsi="Times New Roman" w:cs="Times New Roman"/>
          <w:sz w:val="24"/>
          <w:szCs w:val="24"/>
        </w:rPr>
        <w:t xml:space="preserve"> analyses revealed that both HR as well as LR participants rated their mood </w:t>
      </w:r>
      <w:r w:rsidR="009E2AA3">
        <w:rPr>
          <w:rFonts w:ascii="Times New Roman" w:hAnsi="Times New Roman" w:cs="Times New Roman"/>
          <w:sz w:val="24"/>
          <w:szCs w:val="24"/>
        </w:rPr>
        <w:t xml:space="preserve">as </w:t>
      </w:r>
      <w:r>
        <w:rPr>
          <w:rFonts w:ascii="Times New Roman" w:hAnsi="Times New Roman" w:cs="Times New Roman"/>
          <w:sz w:val="24"/>
          <w:szCs w:val="24"/>
        </w:rPr>
        <w:t xml:space="preserve">worse after watching the sad movie scene (Time 2 and Time 3; </w:t>
      </w:r>
      <w:proofErr w:type="spellStart"/>
      <w:r w:rsidRPr="00483633">
        <w:rPr>
          <w:rFonts w:ascii="Times New Roman" w:hAnsi="Times New Roman" w:cs="Times New Roman"/>
          <w:i/>
          <w:sz w:val="24"/>
          <w:szCs w:val="24"/>
        </w:rPr>
        <w:t>t</w:t>
      </w:r>
      <w:r>
        <w:rPr>
          <w:rFonts w:ascii="Times New Roman" w:hAnsi="Times New Roman" w:cs="Times New Roman"/>
          <w:sz w:val="24"/>
          <w:szCs w:val="24"/>
        </w:rPr>
        <w:t>s</w:t>
      </w:r>
      <w:proofErr w:type="spellEnd"/>
      <w:r>
        <w:rPr>
          <w:rFonts w:ascii="Times New Roman" w:hAnsi="Times New Roman" w:cs="Times New Roman"/>
          <w:sz w:val="24"/>
          <w:szCs w:val="24"/>
        </w:rPr>
        <w:t xml:space="preserve"> ≥ 5.4; </w:t>
      </w:r>
      <w:proofErr w:type="spellStart"/>
      <w:r w:rsidRPr="00483633">
        <w:rPr>
          <w:rFonts w:ascii="Times New Roman" w:hAnsi="Times New Roman" w:cs="Times New Roman"/>
          <w:i/>
          <w:sz w:val="24"/>
          <w:szCs w:val="24"/>
        </w:rPr>
        <w:t>p</w:t>
      </w:r>
      <w:r>
        <w:rPr>
          <w:rFonts w:ascii="Times New Roman" w:hAnsi="Times New Roman" w:cs="Times New Roman"/>
          <w:sz w:val="24"/>
          <w:szCs w:val="24"/>
        </w:rPr>
        <w:t>s</w:t>
      </w:r>
      <w:proofErr w:type="spellEnd"/>
      <w:r>
        <w:rPr>
          <w:rFonts w:ascii="Times New Roman" w:hAnsi="Times New Roman" w:cs="Times New Roman"/>
          <w:sz w:val="24"/>
          <w:szCs w:val="24"/>
        </w:rPr>
        <w:t xml:space="preserve"> &lt; .001) but only HR participants rated their mood better after watching the pleasant movie scene (Time 5; </w:t>
      </w:r>
      <w:r w:rsidRPr="00483633">
        <w:rPr>
          <w:rFonts w:ascii="Times New Roman" w:hAnsi="Times New Roman" w:cs="Times New Roman"/>
          <w:i/>
          <w:sz w:val="24"/>
          <w:szCs w:val="24"/>
        </w:rPr>
        <w:t>t</w:t>
      </w:r>
      <w:r>
        <w:rPr>
          <w:rFonts w:ascii="Times New Roman" w:hAnsi="Times New Roman" w:cs="Times New Roman"/>
          <w:sz w:val="24"/>
          <w:szCs w:val="24"/>
          <w:vertAlign w:val="subscript"/>
        </w:rPr>
        <w:t>4</w:t>
      </w:r>
      <w:r w:rsidRPr="00483633">
        <w:rPr>
          <w:rFonts w:ascii="Times New Roman" w:hAnsi="Times New Roman" w:cs="Times New Roman"/>
          <w:sz w:val="24"/>
          <w:szCs w:val="24"/>
          <w:vertAlign w:val="subscript"/>
        </w:rPr>
        <w:t>7</w:t>
      </w:r>
      <w:r>
        <w:rPr>
          <w:rFonts w:ascii="Times New Roman" w:hAnsi="Times New Roman" w:cs="Times New Roman"/>
          <w:sz w:val="24"/>
          <w:szCs w:val="24"/>
        </w:rPr>
        <w:t xml:space="preserve"> = 3.5; </w:t>
      </w:r>
      <w:r w:rsidRPr="00483633">
        <w:rPr>
          <w:rFonts w:ascii="Times New Roman" w:hAnsi="Times New Roman" w:cs="Times New Roman"/>
          <w:i/>
          <w:sz w:val="24"/>
          <w:szCs w:val="24"/>
        </w:rPr>
        <w:t>p</w:t>
      </w:r>
      <w:r>
        <w:rPr>
          <w:rFonts w:ascii="Times New Roman" w:hAnsi="Times New Roman" w:cs="Times New Roman"/>
          <w:sz w:val="24"/>
          <w:szCs w:val="24"/>
        </w:rPr>
        <w:t xml:space="preserve"> = .001) compared to baseline.</w:t>
      </w:r>
    </w:p>
    <w:p w14:paraId="7C440862" w14:textId="1C3F7977" w:rsidR="00EB2D90" w:rsidRPr="00EB2D90" w:rsidRDefault="00EB2D90" w:rsidP="00101E00">
      <w:pPr>
        <w:spacing w:line="360" w:lineRule="auto"/>
        <w:ind w:left="720" w:hanging="720"/>
        <w:rPr>
          <w:rFonts w:ascii="Times New Roman" w:hAnsi="Times New Roman" w:cs="Times New Roman"/>
          <w:noProof/>
          <w:sz w:val="24"/>
          <w:szCs w:val="24"/>
        </w:rPr>
      </w:pPr>
      <w:r w:rsidRPr="00B47824">
        <w:rPr>
          <w:rFonts w:ascii="Times New Roman" w:hAnsi="Times New Roman" w:cs="Times New Roman"/>
          <w:b/>
          <w:sz w:val="24"/>
          <w:szCs w:val="24"/>
        </w:rPr>
        <w:t>References</w:t>
      </w:r>
    </w:p>
    <w:p w14:paraId="6799B125" w14:textId="5090DDB3" w:rsidR="00EB2D90" w:rsidRPr="00E822D6" w:rsidRDefault="001E36C0" w:rsidP="00101E00">
      <w:pPr>
        <w:spacing w:after="0" w:line="360" w:lineRule="auto"/>
        <w:ind w:left="720" w:hanging="720"/>
        <w:rPr>
          <w:rFonts w:ascii="Times New Roman" w:hAnsi="Times New Roman" w:cs="Times New Roman"/>
          <w:noProof/>
          <w:sz w:val="24"/>
          <w:szCs w:val="24"/>
        </w:rPr>
      </w:pPr>
      <w:bookmarkStart w:id="1" w:name="_ENREF_3"/>
      <w:r>
        <w:rPr>
          <w:rFonts w:ascii="Times New Roman" w:hAnsi="Times New Roman" w:cs="Times New Roman"/>
          <w:noProof/>
          <w:sz w:val="24"/>
          <w:szCs w:val="24"/>
        </w:rPr>
        <w:t xml:space="preserve">Hahn, D. (Producer), </w:t>
      </w:r>
      <w:r w:rsidR="00EB2D90" w:rsidRPr="00EB2D90">
        <w:rPr>
          <w:rFonts w:ascii="Times New Roman" w:hAnsi="Times New Roman" w:cs="Times New Roman"/>
          <w:noProof/>
          <w:sz w:val="24"/>
          <w:szCs w:val="24"/>
        </w:rPr>
        <w:t>Allers, R., &amp; Minkoff, R. (</w:t>
      </w:r>
      <w:r w:rsidR="00EB2D90">
        <w:rPr>
          <w:rFonts w:ascii="Times New Roman" w:hAnsi="Times New Roman" w:cs="Times New Roman"/>
          <w:noProof/>
          <w:sz w:val="24"/>
          <w:szCs w:val="24"/>
        </w:rPr>
        <w:t>Directors</w:t>
      </w:r>
      <w:r w:rsidR="00EB2D90" w:rsidRPr="00EB2D90">
        <w:rPr>
          <w:rFonts w:ascii="Times New Roman" w:hAnsi="Times New Roman" w:cs="Times New Roman"/>
          <w:noProof/>
          <w:sz w:val="24"/>
          <w:szCs w:val="24"/>
        </w:rPr>
        <w:t xml:space="preserve">). (1994). </w:t>
      </w:r>
      <w:r w:rsidR="00EB2D90" w:rsidRPr="00EB2D90">
        <w:rPr>
          <w:rFonts w:ascii="Times New Roman" w:hAnsi="Times New Roman" w:cs="Times New Roman"/>
          <w:i/>
          <w:noProof/>
          <w:sz w:val="24"/>
          <w:szCs w:val="24"/>
        </w:rPr>
        <w:t>The Lion King</w:t>
      </w:r>
      <w:r>
        <w:rPr>
          <w:rFonts w:ascii="Times New Roman" w:hAnsi="Times New Roman" w:cs="Times New Roman"/>
          <w:noProof/>
          <w:sz w:val="24"/>
          <w:szCs w:val="24"/>
        </w:rPr>
        <w:t xml:space="preserve"> [Motion Picture]. </w:t>
      </w:r>
      <w:r w:rsidR="00EB2D90" w:rsidRPr="00E822D6">
        <w:rPr>
          <w:rFonts w:ascii="Times New Roman" w:hAnsi="Times New Roman" w:cs="Times New Roman"/>
          <w:noProof/>
          <w:sz w:val="24"/>
          <w:szCs w:val="24"/>
        </w:rPr>
        <w:t>USA: Walt Disney.</w:t>
      </w:r>
      <w:bookmarkEnd w:id="1"/>
    </w:p>
    <w:p w14:paraId="76DE0F8C" w14:textId="77777777" w:rsidR="001E36C0" w:rsidRPr="00E203C6" w:rsidRDefault="001E36C0" w:rsidP="00101E00">
      <w:pPr>
        <w:spacing w:after="0" w:line="360" w:lineRule="auto"/>
        <w:ind w:left="720" w:hanging="720"/>
        <w:rPr>
          <w:rFonts w:ascii="Times New Roman" w:hAnsi="Times New Roman" w:cs="Times New Roman"/>
          <w:noProof/>
          <w:sz w:val="24"/>
          <w:szCs w:val="24"/>
          <w:lang w:val="de-DE"/>
        </w:rPr>
      </w:pPr>
      <w:bookmarkStart w:id="2" w:name="_ENREF_30"/>
      <w:r w:rsidRPr="00386BBD">
        <w:rPr>
          <w:rFonts w:ascii="Times New Roman" w:hAnsi="Times New Roman" w:cs="Times New Roman"/>
          <w:noProof/>
          <w:sz w:val="24"/>
          <w:szCs w:val="24"/>
        </w:rPr>
        <w:t xml:space="preserve">Lang, P. J. (1980). Behavioral treatment and bio-behavioral assessment: Computer applications. In J. B. Sidowski, J. H. Johnson &amp; T. A. Williams (Eds.), </w:t>
      </w:r>
      <w:r w:rsidRPr="00386BBD">
        <w:rPr>
          <w:rFonts w:ascii="Times New Roman" w:hAnsi="Times New Roman" w:cs="Times New Roman"/>
          <w:i/>
          <w:noProof/>
          <w:sz w:val="24"/>
          <w:szCs w:val="24"/>
        </w:rPr>
        <w:t xml:space="preserve">Technology in Mental Health Care Delivery Systems </w:t>
      </w:r>
      <w:r w:rsidRPr="00386BBD">
        <w:rPr>
          <w:rFonts w:ascii="Times New Roman" w:hAnsi="Times New Roman" w:cs="Times New Roman"/>
          <w:noProof/>
          <w:sz w:val="24"/>
          <w:szCs w:val="24"/>
        </w:rPr>
        <w:t xml:space="preserve">(pp. 119-137). </w:t>
      </w:r>
      <w:r w:rsidRPr="00E203C6">
        <w:rPr>
          <w:rFonts w:ascii="Times New Roman" w:hAnsi="Times New Roman" w:cs="Times New Roman"/>
          <w:noProof/>
          <w:sz w:val="24"/>
          <w:szCs w:val="24"/>
          <w:lang w:val="de-DE"/>
        </w:rPr>
        <w:t>Norwood: Ablex.</w:t>
      </w:r>
      <w:bookmarkEnd w:id="2"/>
    </w:p>
    <w:p w14:paraId="7986332F" w14:textId="38E29BA2" w:rsidR="009142E1" w:rsidRPr="00C41C5F" w:rsidRDefault="009142E1" w:rsidP="009142E1">
      <w:pPr>
        <w:autoSpaceDE w:val="0"/>
        <w:autoSpaceDN w:val="0"/>
        <w:adjustRightInd w:val="0"/>
        <w:spacing w:after="0" w:line="360" w:lineRule="auto"/>
        <w:ind w:left="720" w:hanging="720"/>
        <w:rPr>
          <w:rFonts w:ascii="Times New Roman" w:hAnsi="Times New Roman" w:cs="Times New Roman"/>
          <w:noProof/>
          <w:sz w:val="24"/>
          <w:szCs w:val="24"/>
        </w:rPr>
      </w:pPr>
      <w:r w:rsidRPr="00E203C6">
        <w:rPr>
          <w:rFonts w:ascii="Times New Roman" w:hAnsi="Times New Roman" w:cs="Times New Roman"/>
          <w:noProof/>
          <w:sz w:val="24"/>
          <w:szCs w:val="24"/>
          <w:lang w:val="de-DE"/>
        </w:rPr>
        <w:t xml:space="preserve">Sfärlea, A., Löchner, J., Neumüller, J., Asperud Thomsen, L., Starman, K., Salemink, E., </w:t>
      </w:r>
      <w:r w:rsidR="006E3453" w:rsidRPr="00E203C6">
        <w:rPr>
          <w:rFonts w:ascii="Times New Roman" w:hAnsi="Times New Roman" w:cs="Times New Roman"/>
          <w:noProof/>
          <w:sz w:val="24"/>
          <w:szCs w:val="24"/>
          <w:lang w:val="de-DE"/>
        </w:rPr>
        <w:t>Schulte-Körne, G.,</w:t>
      </w:r>
      <w:r w:rsidRPr="00E203C6">
        <w:rPr>
          <w:rFonts w:ascii="Times New Roman" w:hAnsi="Times New Roman" w:cs="Times New Roman"/>
          <w:noProof/>
          <w:sz w:val="24"/>
          <w:szCs w:val="24"/>
          <w:lang w:val="de-DE"/>
        </w:rPr>
        <w:t xml:space="preserve"> &amp; Platt, B. (2019). </w:t>
      </w:r>
      <w:r w:rsidRPr="00C41C5F">
        <w:rPr>
          <w:rFonts w:ascii="Times New Roman" w:hAnsi="Times New Roman" w:cs="Times New Roman"/>
          <w:noProof/>
          <w:sz w:val="24"/>
          <w:szCs w:val="24"/>
        </w:rPr>
        <w:t xml:space="preserve">Passing on the half-empty glass: A transgenerational study of interpretation biases in children at risk for depression and their parents with depression. </w:t>
      </w:r>
      <w:r w:rsidRPr="00C41C5F">
        <w:rPr>
          <w:rFonts w:ascii="Times New Roman" w:hAnsi="Times New Roman" w:cs="Times New Roman"/>
          <w:i/>
          <w:noProof/>
          <w:sz w:val="24"/>
          <w:szCs w:val="24"/>
        </w:rPr>
        <w:t>Journal of Abnormal Psychology</w:t>
      </w:r>
      <w:r w:rsidRPr="00C41C5F">
        <w:rPr>
          <w:rFonts w:ascii="Times New Roman" w:hAnsi="Times New Roman" w:cs="Times New Roman"/>
          <w:noProof/>
          <w:sz w:val="24"/>
          <w:szCs w:val="24"/>
        </w:rPr>
        <w:t xml:space="preserve">, </w:t>
      </w:r>
      <w:r w:rsidRPr="00C41C5F">
        <w:rPr>
          <w:rFonts w:ascii="Times New Roman" w:hAnsi="Times New Roman" w:cs="Times New Roman"/>
          <w:i/>
          <w:noProof/>
          <w:sz w:val="24"/>
          <w:szCs w:val="24"/>
        </w:rPr>
        <w:t>128</w:t>
      </w:r>
      <w:r w:rsidRPr="00C41C5F">
        <w:rPr>
          <w:rFonts w:ascii="Times New Roman" w:hAnsi="Times New Roman" w:cs="Times New Roman"/>
          <w:noProof/>
          <w:sz w:val="24"/>
          <w:szCs w:val="24"/>
        </w:rPr>
        <w:t>, 151-161.</w:t>
      </w:r>
    </w:p>
    <w:p w14:paraId="18406598" w14:textId="77777777" w:rsidR="009142E1" w:rsidRPr="00CF3A23" w:rsidRDefault="009142E1" w:rsidP="00101E00">
      <w:pPr>
        <w:spacing w:after="0" w:line="360" w:lineRule="auto"/>
        <w:ind w:left="720" w:hanging="720"/>
        <w:rPr>
          <w:rFonts w:ascii="Times New Roman" w:hAnsi="Times New Roman" w:cs="Times New Roman"/>
          <w:noProof/>
          <w:sz w:val="24"/>
          <w:szCs w:val="24"/>
        </w:rPr>
      </w:pPr>
    </w:p>
    <w:p w14:paraId="77C90BFE" w14:textId="77777777" w:rsidR="001E36C0" w:rsidRPr="00CF3A23" w:rsidRDefault="001E36C0" w:rsidP="00101E00">
      <w:pPr>
        <w:spacing w:after="0" w:line="360" w:lineRule="auto"/>
        <w:ind w:left="720" w:hanging="720"/>
        <w:rPr>
          <w:rFonts w:ascii="Times New Roman" w:hAnsi="Times New Roman" w:cs="Times New Roman"/>
          <w:noProof/>
          <w:sz w:val="24"/>
          <w:szCs w:val="24"/>
        </w:rPr>
      </w:pPr>
    </w:p>
    <w:p w14:paraId="6A6693E1" w14:textId="5A829B56" w:rsidR="00FF7DDB" w:rsidRDefault="00FF7DDB">
      <w:pPr>
        <w:rPr>
          <w:rFonts w:ascii="Times New Roman" w:hAnsi="Times New Roman" w:cs="Times New Roman"/>
          <w:sz w:val="24"/>
          <w:szCs w:val="24"/>
        </w:rPr>
      </w:pPr>
      <w:r>
        <w:rPr>
          <w:rFonts w:ascii="Times New Roman" w:hAnsi="Times New Roman" w:cs="Times New Roman"/>
          <w:sz w:val="24"/>
          <w:szCs w:val="24"/>
        </w:rPr>
        <w:br w:type="page"/>
      </w:r>
    </w:p>
    <w:p w14:paraId="6B15A966" w14:textId="7AE2815C" w:rsidR="00FF7DDB" w:rsidRPr="00CD0A15" w:rsidRDefault="00FF7DDB" w:rsidP="00FF7DDB">
      <w:pPr>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Supplement 3</w:t>
      </w:r>
      <w:r w:rsidRPr="00B72864">
        <w:rPr>
          <w:rFonts w:ascii="Times New Roman" w:hAnsi="Times New Roman" w:cs="Times New Roman"/>
          <w:b/>
          <w:sz w:val="24"/>
          <w:szCs w:val="24"/>
        </w:rPr>
        <w:t xml:space="preserve">: </w:t>
      </w:r>
      <w:r>
        <w:rPr>
          <w:rFonts w:ascii="Times New Roman" w:hAnsi="Times New Roman" w:cs="Times New Roman"/>
          <w:b/>
          <w:sz w:val="24"/>
          <w:szCs w:val="24"/>
        </w:rPr>
        <w:t>Alternative analysis of the AST</w:t>
      </w:r>
    </w:p>
    <w:p w14:paraId="562D9CBC" w14:textId="255A6CFB" w:rsidR="00FF7DDB" w:rsidRDefault="00FF7DDB" w:rsidP="00FF7DDB">
      <w:pPr>
        <w:spacing w:line="360" w:lineRule="auto"/>
        <w:rPr>
          <w:rFonts w:ascii="Times New Roman" w:hAnsi="Times New Roman" w:cs="Times New Roman"/>
          <w:color w:val="000000" w:themeColor="text1"/>
          <w:sz w:val="24"/>
          <w:szCs w:val="24"/>
        </w:rPr>
      </w:pPr>
      <w:r w:rsidRPr="009B43AA">
        <w:rPr>
          <w:rFonts w:ascii="Times New Roman" w:hAnsi="Times New Roman" w:cs="Times New Roman"/>
          <w:color w:val="212121"/>
          <w:sz w:val="24"/>
          <w:szCs w:val="24"/>
          <w:shd w:val="clear" w:color="auto" w:fill="FFFFFF"/>
        </w:rPr>
        <w:t>An alternative way</w:t>
      </w:r>
      <w:r>
        <w:rPr>
          <w:rFonts w:ascii="Times New Roman" w:hAnsi="Times New Roman" w:cs="Times New Roman"/>
          <w:color w:val="212121"/>
          <w:sz w:val="24"/>
          <w:szCs w:val="24"/>
          <w:shd w:val="clear" w:color="auto" w:fill="FFFFFF"/>
        </w:rPr>
        <w:t xml:space="preserve"> to analyse the AST with absolute positive and negative scores instead of relative scores is to calculate a 2-way ANOVA with the within-subjects factor </w:t>
      </w:r>
      <w:r>
        <w:rPr>
          <w:rFonts w:ascii="Times New Roman" w:hAnsi="Times New Roman" w:cs="Times New Roman"/>
          <w:smallCaps/>
          <w:color w:val="000000" w:themeColor="text1"/>
          <w:sz w:val="24"/>
          <w:szCs w:val="24"/>
        </w:rPr>
        <w:t>Valence</w:t>
      </w:r>
      <w:r>
        <w:rPr>
          <w:rFonts w:ascii="Times New Roman" w:hAnsi="Times New Roman" w:cs="Times New Roman"/>
          <w:color w:val="000000" w:themeColor="text1"/>
          <w:sz w:val="24"/>
          <w:szCs w:val="24"/>
        </w:rPr>
        <w:t xml:space="preserve"> (2: mean negative vs. positive target scores) and the between-subjects factor</w:t>
      </w:r>
      <w:r w:rsidRPr="006A44D5">
        <w:rPr>
          <w:rFonts w:ascii="Times New Roman" w:hAnsi="Times New Roman" w:cs="Times New Roman"/>
          <w:color w:val="000000" w:themeColor="text1"/>
          <w:sz w:val="24"/>
          <w:szCs w:val="24"/>
        </w:rPr>
        <w:t xml:space="preserve"> </w:t>
      </w:r>
      <w:r>
        <w:rPr>
          <w:rFonts w:ascii="Times New Roman" w:hAnsi="Times New Roman" w:cs="Times New Roman"/>
          <w:smallCaps/>
          <w:color w:val="000000" w:themeColor="text1"/>
          <w:sz w:val="24"/>
          <w:szCs w:val="24"/>
        </w:rPr>
        <w:t>Group</w:t>
      </w:r>
      <w:r w:rsidRPr="006A44D5">
        <w:rPr>
          <w:rFonts w:ascii="Times New Roman" w:hAnsi="Times New Roman" w:cs="Times New Roman"/>
          <w:color w:val="000000" w:themeColor="text1"/>
          <w:sz w:val="24"/>
          <w:szCs w:val="24"/>
          <w:vertAlign w:val="subscript"/>
        </w:rPr>
        <w:t xml:space="preserve"> </w:t>
      </w:r>
      <w:r>
        <w:rPr>
          <w:rFonts w:ascii="Times New Roman" w:hAnsi="Times New Roman" w:cs="Times New Roman"/>
          <w:color w:val="000000" w:themeColor="text1"/>
          <w:sz w:val="24"/>
          <w:szCs w:val="24"/>
        </w:rPr>
        <w:t>(3</w:t>
      </w:r>
      <w:r w:rsidRPr="006A44D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and corresponding post-hoc tests. </w:t>
      </w:r>
    </w:p>
    <w:p w14:paraId="79247AEF" w14:textId="6BD13AD0" w:rsidR="00953C5A" w:rsidRDefault="00FF7DDB" w:rsidP="00953C5A">
      <w:pPr>
        <w:spacing w:line="360" w:lineRule="auto"/>
        <w:rPr>
          <w:rFonts w:ascii="Times New Roman" w:hAnsi="Times New Roman" w:cs="Times New Roman"/>
          <w:sz w:val="24"/>
          <w:szCs w:val="24"/>
          <w:lang w:val="en-US"/>
        </w:rPr>
      </w:pPr>
      <w:r>
        <w:rPr>
          <w:rFonts w:ascii="Times New Roman" w:hAnsi="Times New Roman" w:cs="Times New Roman"/>
          <w:color w:val="000000" w:themeColor="text1"/>
          <w:sz w:val="24"/>
          <w:szCs w:val="24"/>
        </w:rPr>
        <w:t xml:space="preserve">This ANOVA yielded no main effects of </w:t>
      </w:r>
      <w:r>
        <w:rPr>
          <w:rFonts w:ascii="Times New Roman" w:hAnsi="Times New Roman" w:cs="Times New Roman"/>
          <w:smallCaps/>
          <w:color w:val="000000" w:themeColor="text1"/>
          <w:sz w:val="24"/>
          <w:szCs w:val="24"/>
        </w:rPr>
        <w:t>Valence</w:t>
      </w:r>
      <w:r>
        <w:rPr>
          <w:rFonts w:ascii="Times New Roman" w:hAnsi="Times New Roman" w:cs="Times New Roman"/>
          <w:color w:val="000000" w:themeColor="text1"/>
          <w:sz w:val="24"/>
          <w:szCs w:val="24"/>
        </w:rPr>
        <w:t xml:space="preserve"> (</w:t>
      </w:r>
      <w:r>
        <w:rPr>
          <w:rFonts w:ascii="Times New Roman" w:hAnsi="Times New Roman" w:cs="Times New Roman"/>
          <w:i/>
          <w:sz w:val="24"/>
          <w:szCs w:val="24"/>
          <w:lang w:val="en-US"/>
        </w:rPr>
        <w:t>F</w:t>
      </w:r>
      <w:r>
        <w:rPr>
          <w:rFonts w:ascii="Times New Roman" w:hAnsi="Times New Roman" w:cs="Times New Roman"/>
          <w:sz w:val="24"/>
          <w:szCs w:val="24"/>
          <w:vertAlign w:val="subscript"/>
          <w:lang w:val="en-US"/>
        </w:rPr>
        <w:t>1</w:t>
      </w:r>
      <w:proofErr w:type="gramStart"/>
      <w:r>
        <w:rPr>
          <w:rFonts w:ascii="Times New Roman" w:hAnsi="Times New Roman" w:cs="Times New Roman"/>
          <w:sz w:val="24"/>
          <w:szCs w:val="24"/>
          <w:vertAlign w:val="subscript"/>
          <w:lang w:val="en-US"/>
        </w:rPr>
        <w:t>,119</w:t>
      </w:r>
      <w:proofErr w:type="gramEnd"/>
      <w:r>
        <w:rPr>
          <w:rFonts w:ascii="Times New Roman" w:hAnsi="Times New Roman" w:cs="Times New Roman"/>
          <w:sz w:val="24"/>
          <w:szCs w:val="24"/>
          <w:vertAlign w:val="subscript"/>
          <w:lang w:val="en-US"/>
        </w:rPr>
        <w:t xml:space="preserve"> </w:t>
      </w:r>
      <w:r>
        <w:rPr>
          <w:rFonts w:ascii="Times New Roman" w:hAnsi="Times New Roman" w:cs="Times New Roman"/>
          <w:sz w:val="24"/>
          <w:szCs w:val="24"/>
          <w:lang w:val="en-US"/>
        </w:rPr>
        <w:t xml:space="preserve">= 2.0, </w:t>
      </w:r>
      <w:r>
        <w:rPr>
          <w:rFonts w:ascii="Times New Roman" w:hAnsi="Times New Roman" w:cs="Times New Roman"/>
          <w:i/>
          <w:sz w:val="24"/>
          <w:szCs w:val="24"/>
          <w:lang w:val="en-US"/>
        </w:rPr>
        <w:t>p</w:t>
      </w:r>
      <w:r>
        <w:rPr>
          <w:rFonts w:ascii="Times New Roman" w:hAnsi="Times New Roman" w:cs="Times New Roman"/>
          <w:sz w:val="24"/>
          <w:szCs w:val="24"/>
          <w:lang w:val="en-US"/>
        </w:rPr>
        <w:t xml:space="preserve"> &gt; .1, </w:t>
      </w:r>
      <w:r>
        <w:rPr>
          <w:rFonts w:ascii="Times New Roman" w:hAnsi="Times New Roman" w:cs="Times New Roman"/>
          <w:i/>
          <w:sz w:val="24"/>
          <w:szCs w:val="24"/>
          <w:lang w:val="en-US"/>
        </w:rPr>
        <w:t>η</w:t>
      </w:r>
      <w:r w:rsidRPr="00913A18">
        <w:rPr>
          <w:rFonts w:ascii="Times New Roman" w:hAnsi="Times New Roman" w:cs="Times New Roman"/>
          <w:i/>
          <w:sz w:val="24"/>
          <w:szCs w:val="24"/>
          <w:vertAlign w:val="subscript"/>
          <w:lang w:val="en-US"/>
        </w:rPr>
        <w:t>p</w:t>
      </w:r>
      <w:r>
        <w:rPr>
          <w:rFonts w:ascii="Times New Roman" w:hAnsi="Times New Roman" w:cs="Times New Roman"/>
          <w:i/>
          <w:sz w:val="24"/>
          <w:szCs w:val="24"/>
          <w:lang w:val="en-US"/>
        </w:rPr>
        <w:t>²</w:t>
      </w:r>
      <w:r>
        <w:rPr>
          <w:rFonts w:ascii="Times New Roman" w:hAnsi="Times New Roman" w:cs="Times New Roman"/>
          <w:sz w:val="24"/>
          <w:szCs w:val="24"/>
          <w:lang w:val="en-US"/>
        </w:rPr>
        <w:t xml:space="preserve"> = .02) or </w:t>
      </w:r>
      <w:r>
        <w:rPr>
          <w:rFonts w:ascii="Times New Roman" w:hAnsi="Times New Roman" w:cs="Times New Roman"/>
          <w:smallCaps/>
          <w:color w:val="000000" w:themeColor="text1"/>
          <w:sz w:val="24"/>
          <w:szCs w:val="24"/>
        </w:rPr>
        <w:t>Group</w:t>
      </w:r>
      <w:r w:rsidRPr="006A44D5">
        <w:rPr>
          <w:rFonts w:ascii="Times New Roman" w:hAnsi="Times New Roman" w:cs="Times New Roman"/>
          <w:color w:val="000000" w:themeColor="text1"/>
          <w:sz w:val="24"/>
          <w:szCs w:val="24"/>
          <w:vertAlign w:val="subscript"/>
        </w:rPr>
        <w:t xml:space="preserve"> </w:t>
      </w:r>
      <w:r>
        <w:rPr>
          <w:rFonts w:ascii="Times New Roman" w:hAnsi="Times New Roman" w:cs="Times New Roman"/>
          <w:sz w:val="24"/>
          <w:szCs w:val="24"/>
          <w:lang w:val="en-US"/>
        </w:rPr>
        <w:t>(</w:t>
      </w:r>
      <w:r>
        <w:rPr>
          <w:rFonts w:ascii="Times New Roman" w:hAnsi="Times New Roman" w:cs="Times New Roman"/>
          <w:i/>
          <w:sz w:val="24"/>
          <w:szCs w:val="24"/>
          <w:lang w:val="en-US"/>
        </w:rPr>
        <w:t>F</w:t>
      </w:r>
      <w:r>
        <w:rPr>
          <w:rFonts w:ascii="Times New Roman" w:hAnsi="Times New Roman" w:cs="Times New Roman"/>
          <w:sz w:val="24"/>
          <w:szCs w:val="24"/>
          <w:vertAlign w:val="subscript"/>
          <w:lang w:val="en-US"/>
        </w:rPr>
        <w:t xml:space="preserve">2,119 </w:t>
      </w:r>
      <w:r>
        <w:rPr>
          <w:rFonts w:ascii="Times New Roman" w:hAnsi="Times New Roman" w:cs="Times New Roman"/>
          <w:sz w:val="24"/>
          <w:szCs w:val="24"/>
          <w:lang w:val="en-US"/>
        </w:rPr>
        <w:t xml:space="preserve">= 2.1, </w:t>
      </w:r>
      <w:r>
        <w:rPr>
          <w:rFonts w:ascii="Times New Roman" w:hAnsi="Times New Roman" w:cs="Times New Roman"/>
          <w:i/>
          <w:sz w:val="24"/>
          <w:szCs w:val="24"/>
          <w:lang w:val="en-US"/>
        </w:rPr>
        <w:t>p</w:t>
      </w:r>
      <w:r>
        <w:rPr>
          <w:rFonts w:ascii="Times New Roman" w:hAnsi="Times New Roman" w:cs="Times New Roman"/>
          <w:sz w:val="24"/>
          <w:szCs w:val="24"/>
          <w:lang w:val="en-US"/>
        </w:rPr>
        <w:t xml:space="preserve"> &gt; .1, </w:t>
      </w:r>
      <w:r>
        <w:rPr>
          <w:rFonts w:ascii="Times New Roman" w:hAnsi="Times New Roman" w:cs="Times New Roman"/>
          <w:i/>
          <w:sz w:val="24"/>
          <w:szCs w:val="24"/>
          <w:lang w:val="en-US"/>
        </w:rPr>
        <w:t>η</w:t>
      </w:r>
      <w:r w:rsidRPr="00913A18">
        <w:rPr>
          <w:rFonts w:ascii="Times New Roman" w:hAnsi="Times New Roman" w:cs="Times New Roman"/>
          <w:i/>
          <w:sz w:val="24"/>
          <w:szCs w:val="24"/>
          <w:vertAlign w:val="subscript"/>
          <w:lang w:val="en-US"/>
        </w:rPr>
        <w:t>p</w:t>
      </w:r>
      <w:r>
        <w:rPr>
          <w:rFonts w:ascii="Times New Roman" w:hAnsi="Times New Roman" w:cs="Times New Roman"/>
          <w:i/>
          <w:sz w:val="24"/>
          <w:szCs w:val="24"/>
          <w:lang w:val="en-US"/>
        </w:rPr>
        <w:t>²</w:t>
      </w:r>
      <w:r>
        <w:rPr>
          <w:rFonts w:ascii="Times New Roman" w:hAnsi="Times New Roman" w:cs="Times New Roman"/>
          <w:sz w:val="24"/>
          <w:szCs w:val="24"/>
          <w:lang w:val="en-US"/>
        </w:rPr>
        <w:t xml:space="preserve"> = .03) but </w:t>
      </w:r>
      <w:r>
        <w:rPr>
          <w:rFonts w:ascii="Times New Roman" w:hAnsi="Times New Roman" w:cs="Times New Roman"/>
          <w:color w:val="000000" w:themeColor="text1"/>
          <w:sz w:val="24"/>
          <w:szCs w:val="24"/>
        </w:rPr>
        <w:t xml:space="preserve">a significant </w:t>
      </w:r>
      <w:r>
        <w:rPr>
          <w:rFonts w:ascii="Times New Roman" w:hAnsi="Times New Roman" w:cs="Times New Roman"/>
          <w:smallCaps/>
          <w:color w:val="000000" w:themeColor="text1"/>
          <w:sz w:val="24"/>
          <w:szCs w:val="24"/>
        </w:rPr>
        <w:t>Valence</w:t>
      </w:r>
      <w:r w:rsidRPr="006A44D5">
        <w:rPr>
          <w:rFonts w:ascii="Times New Roman" w:hAnsi="Times New Roman" w:cs="Times New Roman"/>
          <w:color w:val="000000" w:themeColor="text1"/>
          <w:sz w:val="24"/>
          <w:szCs w:val="24"/>
        </w:rPr>
        <w:t xml:space="preserve"> × </w:t>
      </w:r>
      <w:r>
        <w:rPr>
          <w:rFonts w:ascii="Times New Roman" w:hAnsi="Times New Roman" w:cs="Times New Roman"/>
          <w:smallCaps/>
          <w:color w:val="000000" w:themeColor="text1"/>
          <w:sz w:val="24"/>
          <w:szCs w:val="24"/>
        </w:rPr>
        <w:t>Group</w:t>
      </w:r>
      <w:r w:rsidRPr="006A44D5">
        <w:rPr>
          <w:rFonts w:ascii="Times New Roman" w:hAnsi="Times New Roman" w:cs="Times New Roman"/>
          <w:color w:val="000000" w:themeColor="text1"/>
          <w:sz w:val="24"/>
          <w:szCs w:val="24"/>
          <w:vertAlign w:val="subscript"/>
        </w:rPr>
        <w:t xml:space="preserve"> </w:t>
      </w:r>
      <w:r>
        <w:rPr>
          <w:rFonts w:ascii="Times New Roman" w:hAnsi="Times New Roman" w:cs="Times New Roman"/>
          <w:color w:val="000000" w:themeColor="text1"/>
          <w:sz w:val="24"/>
          <w:szCs w:val="24"/>
        </w:rPr>
        <w:t xml:space="preserve">interaction </w:t>
      </w:r>
      <w:r>
        <w:rPr>
          <w:rFonts w:ascii="Times New Roman" w:hAnsi="Times New Roman" w:cs="Times New Roman"/>
          <w:sz w:val="24"/>
          <w:szCs w:val="24"/>
          <w:lang w:val="en-US"/>
        </w:rPr>
        <w:t>(</w:t>
      </w:r>
      <w:r>
        <w:rPr>
          <w:rFonts w:ascii="Times New Roman" w:hAnsi="Times New Roman" w:cs="Times New Roman"/>
          <w:i/>
          <w:sz w:val="24"/>
          <w:szCs w:val="24"/>
          <w:lang w:val="en-US"/>
        </w:rPr>
        <w:t>F</w:t>
      </w:r>
      <w:r>
        <w:rPr>
          <w:rFonts w:ascii="Times New Roman" w:hAnsi="Times New Roman" w:cs="Times New Roman"/>
          <w:sz w:val="24"/>
          <w:szCs w:val="24"/>
          <w:vertAlign w:val="subscript"/>
          <w:lang w:val="en-US"/>
        </w:rPr>
        <w:t xml:space="preserve">2,119 </w:t>
      </w:r>
      <w:r>
        <w:rPr>
          <w:rFonts w:ascii="Times New Roman" w:hAnsi="Times New Roman" w:cs="Times New Roman"/>
          <w:sz w:val="24"/>
          <w:szCs w:val="24"/>
          <w:lang w:val="en-US"/>
        </w:rPr>
        <w:t xml:space="preserve">= 13.0, </w:t>
      </w:r>
      <w:r>
        <w:rPr>
          <w:rFonts w:ascii="Times New Roman" w:hAnsi="Times New Roman" w:cs="Times New Roman"/>
          <w:i/>
          <w:sz w:val="24"/>
          <w:szCs w:val="24"/>
          <w:lang w:val="en-US"/>
        </w:rPr>
        <w:t>p</w:t>
      </w:r>
      <w:r>
        <w:rPr>
          <w:rFonts w:ascii="Times New Roman" w:hAnsi="Times New Roman" w:cs="Times New Roman"/>
          <w:sz w:val="24"/>
          <w:szCs w:val="24"/>
          <w:lang w:val="en-US"/>
        </w:rPr>
        <w:t xml:space="preserve"> &lt; .001, </w:t>
      </w:r>
      <w:r>
        <w:rPr>
          <w:rFonts w:ascii="Times New Roman" w:hAnsi="Times New Roman" w:cs="Times New Roman"/>
          <w:i/>
          <w:sz w:val="24"/>
          <w:szCs w:val="24"/>
          <w:lang w:val="en-US"/>
        </w:rPr>
        <w:t>η</w:t>
      </w:r>
      <w:r w:rsidRPr="00913A18">
        <w:rPr>
          <w:rFonts w:ascii="Times New Roman" w:hAnsi="Times New Roman" w:cs="Times New Roman"/>
          <w:i/>
          <w:sz w:val="24"/>
          <w:szCs w:val="24"/>
          <w:vertAlign w:val="subscript"/>
          <w:lang w:val="en-US"/>
        </w:rPr>
        <w:t>p</w:t>
      </w:r>
      <w:r>
        <w:rPr>
          <w:rFonts w:ascii="Times New Roman" w:hAnsi="Times New Roman" w:cs="Times New Roman"/>
          <w:i/>
          <w:sz w:val="24"/>
          <w:szCs w:val="24"/>
          <w:lang w:val="en-US"/>
        </w:rPr>
        <w:t>²</w:t>
      </w:r>
      <w:r>
        <w:rPr>
          <w:rFonts w:ascii="Times New Roman" w:hAnsi="Times New Roman" w:cs="Times New Roman"/>
          <w:sz w:val="24"/>
          <w:szCs w:val="24"/>
          <w:lang w:val="en-US"/>
        </w:rPr>
        <w:t xml:space="preserve"> = .18). To follow up this interaction, one-way ANOVAs with the between-subjects factor </w:t>
      </w:r>
      <w:r>
        <w:rPr>
          <w:rFonts w:ascii="Times New Roman" w:hAnsi="Times New Roman" w:cs="Times New Roman"/>
          <w:smallCaps/>
          <w:color w:val="000000" w:themeColor="text1"/>
          <w:sz w:val="24"/>
          <w:szCs w:val="24"/>
        </w:rPr>
        <w:t xml:space="preserve">Group </w:t>
      </w:r>
      <w:r>
        <w:rPr>
          <w:rFonts w:ascii="Times New Roman" w:hAnsi="Times New Roman" w:cs="Times New Roman"/>
          <w:sz w:val="24"/>
          <w:szCs w:val="24"/>
          <w:lang w:val="en-US"/>
        </w:rPr>
        <w:t xml:space="preserve">were performed separately for mean negative and positive target scores. For negative target scores, this analysis yielded a significant effect of </w:t>
      </w:r>
      <w:r>
        <w:rPr>
          <w:rFonts w:ascii="Times New Roman" w:hAnsi="Times New Roman" w:cs="Times New Roman"/>
          <w:smallCaps/>
          <w:color w:val="000000" w:themeColor="text1"/>
          <w:sz w:val="24"/>
          <w:szCs w:val="24"/>
        </w:rPr>
        <w:t>Group</w:t>
      </w:r>
      <w:r w:rsidRPr="006A44D5">
        <w:rPr>
          <w:rFonts w:ascii="Times New Roman" w:hAnsi="Times New Roman" w:cs="Times New Roman"/>
          <w:color w:val="000000" w:themeColor="text1"/>
          <w:sz w:val="24"/>
          <w:szCs w:val="24"/>
          <w:vertAlign w:val="subscript"/>
        </w:rPr>
        <w:t xml:space="preserve"> </w:t>
      </w:r>
      <w:r>
        <w:rPr>
          <w:rFonts w:ascii="Times New Roman" w:hAnsi="Times New Roman" w:cs="Times New Roman"/>
          <w:sz w:val="24"/>
          <w:szCs w:val="24"/>
          <w:lang w:val="en-US"/>
        </w:rPr>
        <w:t>(</w:t>
      </w:r>
      <w:r>
        <w:rPr>
          <w:rFonts w:ascii="Times New Roman" w:hAnsi="Times New Roman" w:cs="Times New Roman"/>
          <w:i/>
          <w:sz w:val="24"/>
          <w:szCs w:val="24"/>
          <w:lang w:val="en-US"/>
        </w:rPr>
        <w:t>F</w:t>
      </w:r>
      <w:r>
        <w:rPr>
          <w:rFonts w:ascii="Times New Roman" w:hAnsi="Times New Roman" w:cs="Times New Roman"/>
          <w:sz w:val="24"/>
          <w:szCs w:val="24"/>
          <w:vertAlign w:val="subscript"/>
          <w:lang w:val="en-US"/>
        </w:rPr>
        <w:t xml:space="preserve">2,119 </w:t>
      </w:r>
      <w:r>
        <w:rPr>
          <w:rFonts w:ascii="Times New Roman" w:hAnsi="Times New Roman" w:cs="Times New Roman"/>
          <w:sz w:val="24"/>
          <w:szCs w:val="24"/>
          <w:lang w:val="en-US"/>
        </w:rPr>
        <w:t xml:space="preserve">= 13.3, </w:t>
      </w:r>
      <w:r>
        <w:rPr>
          <w:rFonts w:ascii="Times New Roman" w:hAnsi="Times New Roman" w:cs="Times New Roman"/>
          <w:i/>
          <w:sz w:val="24"/>
          <w:szCs w:val="24"/>
          <w:lang w:val="en-US"/>
        </w:rPr>
        <w:t>p</w:t>
      </w:r>
      <w:r>
        <w:rPr>
          <w:rFonts w:ascii="Times New Roman" w:hAnsi="Times New Roman" w:cs="Times New Roman"/>
          <w:sz w:val="24"/>
          <w:szCs w:val="24"/>
          <w:lang w:val="en-US"/>
        </w:rPr>
        <w:t xml:space="preserve"> &lt; .001, </w:t>
      </w:r>
      <w:r>
        <w:rPr>
          <w:rFonts w:ascii="Times New Roman" w:hAnsi="Times New Roman" w:cs="Times New Roman"/>
          <w:i/>
          <w:sz w:val="24"/>
          <w:szCs w:val="24"/>
          <w:lang w:val="en-US"/>
        </w:rPr>
        <w:t>η²</w:t>
      </w:r>
      <w:r>
        <w:rPr>
          <w:rFonts w:ascii="Times New Roman" w:hAnsi="Times New Roman" w:cs="Times New Roman"/>
          <w:sz w:val="24"/>
          <w:szCs w:val="24"/>
          <w:lang w:val="en-US"/>
        </w:rPr>
        <w:t xml:space="preserve"> = .18) with post-hoc </w:t>
      </w:r>
      <w:r w:rsidRPr="00A67372">
        <w:rPr>
          <w:rFonts w:ascii="Times New Roman" w:hAnsi="Times New Roman" w:cs="Times New Roman"/>
          <w:i/>
          <w:sz w:val="24"/>
          <w:szCs w:val="24"/>
          <w:lang w:val="en-US"/>
        </w:rPr>
        <w:t>t</w:t>
      </w:r>
      <w:r>
        <w:rPr>
          <w:rFonts w:ascii="Times New Roman" w:hAnsi="Times New Roman" w:cs="Times New Roman"/>
          <w:sz w:val="24"/>
          <w:szCs w:val="24"/>
          <w:lang w:val="en-US"/>
        </w:rPr>
        <w:t>-tests indicating that the MD group was more likely to endorse negative interpretations than the HR (</w:t>
      </w:r>
      <w:r>
        <w:rPr>
          <w:rFonts w:ascii="Times New Roman" w:hAnsi="Times New Roman" w:cs="Times New Roman"/>
          <w:i/>
          <w:sz w:val="24"/>
          <w:szCs w:val="24"/>
          <w:lang w:val="en-US"/>
        </w:rPr>
        <w:t>t</w:t>
      </w:r>
      <w:r>
        <w:rPr>
          <w:rFonts w:ascii="Times New Roman" w:hAnsi="Times New Roman" w:cs="Times New Roman"/>
          <w:sz w:val="24"/>
          <w:szCs w:val="24"/>
          <w:vertAlign w:val="subscript"/>
          <w:lang w:val="en-US"/>
        </w:rPr>
        <w:t>53.5</w:t>
      </w:r>
      <w:r>
        <w:rPr>
          <w:rFonts w:ascii="Times New Roman" w:hAnsi="Times New Roman" w:cs="Times New Roman"/>
          <w:sz w:val="24"/>
          <w:szCs w:val="24"/>
          <w:lang w:val="en-US"/>
        </w:rPr>
        <w:t xml:space="preserve"> = 4.4, </w:t>
      </w:r>
      <w:r>
        <w:rPr>
          <w:rFonts w:ascii="Times New Roman" w:hAnsi="Times New Roman" w:cs="Times New Roman"/>
          <w:i/>
          <w:sz w:val="24"/>
          <w:szCs w:val="24"/>
          <w:lang w:val="en-US"/>
        </w:rPr>
        <w:t>p</w:t>
      </w:r>
      <w:r>
        <w:rPr>
          <w:rFonts w:ascii="Times New Roman" w:hAnsi="Times New Roman" w:cs="Times New Roman"/>
          <w:sz w:val="24"/>
          <w:szCs w:val="24"/>
          <w:lang w:val="en-US"/>
        </w:rPr>
        <w:t xml:space="preserve"> &lt; .001</w:t>
      </w:r>
      <w:r w:rsidR="00953C5A">
        <w:rPr>
          <w:rFonts w:ascii="Times New Roman" w:hAnsi="Times New Roman" w:cs="Times New Roman"/>
          <w:sz w:val="24"/>
          <w:szCs w:val="24"/>
          <w:lang w:val="en-US"/>
        </w:rPr>
        <w:t xml:space="preserve">, </w:t>
      </w:r>
      <w:r w:rsidR="00D528C9" w:rsidRPr="00D528C9">
        <w:rPr>
          <w:rFonts w:ascii="Times New Roman" w:hAnsi="Times New Roman" w:cs="Times New Roman"/>
          <w:i/>
          <w:color w:val="000000" w:themeColor="text1"/>
          <w:sz w:val="24"/>
          <w:szCs w:val="24"/>
          <w:lang w:val="en-US"/>
        </w:rPr>
        <w:t>d</w:t>
      </w:r>
      <w:r w:rsidR="00D528C9" w:rsidRPr="00D528C9">
        <w:rPr>
          <w:rFonts w:ascii="Times New Roman" w:hAnsi="Times New Roman" w:cs="Times New Roman"/>
          <w:color w:val="000000" w:themeColor="text1"/>
          <w:sz w:val="24"/>
          <w:szCs w:val="24"/>
          <w:lang w:val="en-US"/>
        </w:rPr>
        <w:t xml:space="preserve"> = 1.0</w:t>
      </w:r>
      <w:r w:rsidRPr="00D528C9">
        <w:rPr>
          <w:rFonts w:ascii="Times New Roman" w:hAnsi="Times New Roman" w:cs="Times New Roman"/>
          <w:color w:val="000000" w:themeColor="text1"/>
          <w:sz w:val="24"/>
          <w:szCs w:val="24"/>
          <w:lang w:val="en-US"/>
        </w:rPr>
        <w:t>) and LR groups (</w:t>
      </w:r>
      <w:r w:rsidRPr="00D528C9">
        <w:rPr>
          <w:rFonts w:ascii="Times New Roman" w:hAnsi="Times New Roman" w:cs="Times New Roman"/>
          <w:i/>
          <w:color w:val="000000" w:themeColor="text1"/>
          <w:sz w:val="24"/>
          <w:szCs w:val="24"/>
          <w:lang w:val="en-US"/>
        </w:rPr>
        <w:t>t</w:t>
      </w:r>
      <w:r w:rsidRPr="00D528C9">
        <w:rPr>
          <w:rFonts w:ascii="Times New Roman" w:hAnsi="Times New Roman" w:cs="Times New Roman"/>
          <w:color w:val="000000" w:themeColor="text1"/>
          <w:sz w:val="24"/>
          <w:szCs w:val="24"/>
          <w:vertAlign w:val="subscript"/>
          <w:lang w:val="en-US"/>
        </w:rPr>
        <w:t>48.2</w:t>
      </w:r>
      <w:r w:rsidRPr="00D528C9">
        <w:rPr>
          <w:rFonts w:ascii="Times New Roman" w:hAnsi="Times New Roman" w:cs="Times New Roman"/>
          <w:color w:val="000000" w:themeColor="text1"/>
          <w:sz w:val="24"/>
          <w:szCs w:val="24"/>
          <w:lang w:val="en-US"/>
        </w:rPr>
        <w:t xml:space="preserve"> = 3.4, </w:t>
      </w:r>
      <w:r w:rsidRPr="00D528C9">
        <w:rPr>
          <w:rFonts w:ascii="Times New Roman" w:hAnsi="Times New Roman" w:cs="Times New Roman"/>
          <w:i/>
          <w:color w:val="000000" w:themeColor="text1"/>
          <w:sz w:val="24"/>
          <w:szCs w:val="24"/>
          <w:lang w:val="en-US"/>
        </w:rPr>
        <w:t>p</w:t>
      </w:r>
      <w:r w:rsidR="00D528C9" w:rsidRPr="00D528C9">
        <w:rPr>
          <w:rFonts w:ascii="Times New Roman" w:hAnsi="Times New Roman" w:cs="Times New Roman"/>
          <w:color w:val="000000" w:themeColor="text1"/>
          <w:sz w:val="24"/>
          <w:szCs w:val="24"/>
          <w:lang w:val="en-US"/>
        </w:rPr>
        <w:t xml:space="preserve"> =</w:t>
      </w:r>
      <w:r w:rsidRPr="00D528C9">
        <w:rPr>
          <w:rFonts w:ascii="Times New Roman" w:hAnsi="Times New Roman" w:cs="Times New Roman"/>
          <w:color w:val="000000" w:themeColor="text1"/>
          <w:sz w:val="24"/>
          <w:szCs w:val="24"/>
          <w:lang w:val="en-US"/>
        </w:rPr>
        <w:t xml:space="preserve"> .001</w:t>
      </w:r>
      <w:r w:rsidR="00953C5A" w:rsidRPr="00D528C9">
        <w:rPr>
          <w:rFonts w:ascii="Times New Roman" w:hAnsi="Times New Roman" w:cs="Times New Roman"/>
          <w:color w:val="000000" w:themeColor="text1"/>
          <w:sz w:val="24"/>
          <w:szCs w:val="24"/>
          <w:lang w:val="en-US"/>
        </w:rPr>
        <w:t>,</w:t>
      </w:r>
      <w:r w:rsidR="00D528C9" w:rsidRPr="00D528C9">
        <w:rPr>
          <w:rFonts w:ascii="Times New Roman" w:hAnsi="Times New Roman" w:cs="Times New Roman"/>
          <w:color w:val="000000" w:themeColor="text1"/>
          <w:sz w:val="24"/>
          <w:szCs w:val="24"/>
          <w:lang w:val="en-US"/>
        </w:rPr>
        <w:t xml:space="preserve"> </w:t>
      </w:r>
      <w:r w:rsidR="00D528C9" w:rsidRPr="00D528C9">
        <w:rPr>
          <w:rFonts w:ascii="Times New Roman" w:hAnsi="Times New Roman" w:cs="Times New Roman"/>
          <w:i/>
          <w:color w:val="000000" w:themeColor="text1"/>
          <w:sz w:val="24"/>
          <w:szCs w:val="24"/>
          <w:lang w:val="en-US"/>
        </w:rPr>
        <w:t>d</w:t>
      </w:r>
      <w:r w:rsidR="00D528C9" w:rsidRPr="00D528C9">
        <w:rPr>
          <w:rFonts w:ascii="Times New Roman" w:hAnsi="Times New Roman" w:cs="Times New Roman"/>
          <w:color w:val="000000" w:themeColor="text1"/>
          <w:sz w:val="24"/>
          <w:szCs w:val="24"/>
          <w:lang w:val="en-US"/>
        </w:rPr>
        <w:t xml:space="preserve"> = 0.8</w:t>
      </w:r>
      <w:r w:rsidRPr="00D528C9">
        <w:rPr>
          <w:rFonts w:ascii="Times New Roman" w:hAnsi="Times New Roman" w:cs="Times New Roman"/>
          <w:color w:val="000000" w:themeColor="text1"/>
          <w:sz w:val="24"/>
          <w:szCs w:val="24"/>
          <w:lang w:val="en-US"/>
        </w:rPr>
        <w:t>) while the HR and LR groups did not differ from each other (</w:t>
      </w:r>
      <w:r w:rsidRPr="00D528C9">
        <w:rPr>
          <w:rFonts w:ascii="Times New Roman" w:hAnsi="Times New Roman" w:cs="Times New Roman"/>
          <w:i/>
          <w:color w:val="000000" w:themeColor="text1"/>
          <w:sz w:val="24"/>
          <w:szCs w:val="24"/>
          <w:lang w:val="en-US"/>
        </w:rPr>
        <w:t>t</w:t>
      </w:r>
      <w:r w:rsidRPr="00D528C9">
        <w:rPr>
          <w:rFonts w:ascii="Times New Roman" w:hAnsi="Times New Roman" w:cs="Times New Roman"/>
          <w:color w:val="000000" w:themeColor="text1"/>
          <w:sz w:val="24"/>
          <w:szCs w:val="24"/>
          <w:vertAlign w:val="subscript"/>
          <w:lang w:val="en-US"/>
        </w:rPr>
        <w:t>88</w:t>
      </w:r>
      <w:r w:rsidRPr="00D528C9">
        <w:rPr>
          <w:rFonts w:ascii="Times New Roman" w:hAnsi="Times New Roman" w:cs="Times New Roman"/>
          <w:color w:val="000000" w:themeColor="text1"/>
          <w:sz w:val="24"/>
          <w:szCs w:val="24"/>
          <w:lang w:val="en-US"/>
        </w:rPr>
        <w:t xml:space="preserve"> = 1.5, </w:t>
      </w:r>
      <w:r w:rsidRPr="00D528C9">
        <w:rPr>
          <w:rFonts w:ascii="Times New Roman" w:hAnsi="Times New Roman" w:cs="Times New Roman"/>
          <w:i/>
          <w:color w:val="000000" w:themeColor="text1"/>
          <w:sz w:val="24"/>
          <w:szCs w:val="24"/>
          <w:lang w:val="en-US"/>
        </w:rPr>
        <w:t>p</w:t>
      </w:r>
      <w:r w:rsidRPr="00D528C9">
        <w:rPr>
          <w:rFonts w:ascii="Times New Roman" w:hAnsi="Times New Roman" w:cs="Times New Roman"/>
          <w:color w:val="000000" w:themeColor="text1"/>
          <w:sz w:val="24"/>
          <w:szCs w:val="24"/>
          <w:lang w:val="en-US"/>
        </w:rPr>
        <w:t xml:space="preserve"> &gt; .1</w:t>
      </w:r>
      <w:r w:rsidR="00953C5A" w:rsidRPr="00D528C9">
        <w:rPr>
          <w:rFonts w:ascii="Times New Roman" w:hAnsi="Times New Roman" w:cs="Times New Roman"/>
          <w:color w:val="000000" w:themeColor="text1"/>
          <w:sz w:val="24"/>
          <w:szCs w:val="24"/>
          <w:lang w:val="en-US"/>
        </w:rPr>
        <w:t>,</w:t>
      </w:r>
      <w:r w:rsidR="00D528C9" w:rsidRPr="00D528C9">
        <w:rPr>
          <w:rFonts w:ascii="Times New Roman" w:hAnsi="Times New Roman" w:cs="Times New Roman"/>
          <w:color w:val="000000" w:themeColor="text1"/>
          <w:sz w:val="24"/>
          <w:szCs w:val="24"/>
          <w:lang w:val="en-US"/>
        </w:rPr>
        <w:t xml:space="preserve"> </w:t>
      </w:r>
      <w:r w:rsidR="00D528C9" w:rsidRPr="00D528C9">
        <w:rPr>
          <w:rFonts w:ascii="Times New Roman" w:hAnsi="Times New Roman" w:cs="Times New Roman"/>
          <w:i/>
          <w:color w:val="000000" w:themeColor="text1"/>
          <w:sz w:val="24"/>
          <w:szCs w:val="24"/>
          <w:lang w:val="en-US"/>
        </w:rPr>
        <w:t>d</w:t>
      </w:r>
      <w:r w:rsidR="00D528C9" w:rsidRPr="00D528C9">
        <w:rPr>
          <w:rFonts w:ascii="Times New Roman" w:hAnsi="Times New Roman" w:cs="Times New Roman"/>
          <w:color w:val="000000" w:themeColor="text1"/>
          <w:sz w:val="24"/>
          <w:szCs w:val="24"/>
          <w:lang w:val="en-US"/>
        </w:rPr>
        <w:t xml:space="preserve"> = 0.3</w:t>
      </w:r>
      <w:r w:rsidRPr="00D528C9">
        <w:rPr>
          <w:rFonts w:ascii="Times New Roman" w:hAnsi="Times New Roman" w:cs="Times New Roman"/>
          <w:color w:val="000000" w:themeColor="text1"/>
          <w:sz w:val="24"/>
          <w:szCs w:val="24"/>
          <w:lang w:val="en-US"/>
        </w:rPr>
        <w:t>).</w:t>
      </w:r>
      <w:r w:rsidRPr="00D528C9">
        <w:rPr>
          <w:rFonts w:ascii="Times New Roman" w:hAnsi="Times New Roman" w:cs="Times New Roman"/>
          <w:color w:val="000000" w:themeColor="text1"/>
          <w:sz w:val="24"/>
          <w:szCs w:val="24"/>
        </w:rPr>
        <w:t xml:space="preserve"> </w:t>
      </w:r>
      <w:r w:rsidRPr="00D528C9">
        <w:rPr>
          <w:rFonts w:ascii="Times New Roman" w:hAnsi="Times New Roman" w:cs="Times New Roman"/>
          <w:color w:val="000000" w:themeColor="text1"/>
          <w:sz w:val="24"/>
          <w:szCs w:val="24"/>
          <w:lang w:val="en-US"/>
        </w:rPr>
        <w:t xml:space="preserve">For positive bias scores, the effect of </w:t>
      </w:r>
      <w:r w:rsidRPr="00D528C9">
        <w:rPr>
          <w:rFonts w:ascii="Times New Roman" w:hAnsi="Times New Roman" w:cs="Times New Roman"/>
          <w:smallCaps/>
          <w:color w:val="000000" w:themeColor="text1"/>
          <w:sz w:val="24"/>
          <w:szCs w:val="24"/>
        </w:rPr>
        <w:t>Grou</w:t>
      </w:r>
      <w:r>
        <w:rPr>
          <w:rFonts w:ascii="Times New Roman" w:hAnsi="Times New Roman" w:cs="Times New Roman"/>
          <w:smallCaps/>
          <w:color w:val="000000" w:themeColor="text1"/>
          <w:sz w:val="24"/>
          <w:szCs w:val="24"/>
        </w:rPr>
        <w:t>p</w:t>
      </w:r>
      <w:r>
        <w:rPr>
          <w:rFonts w:ascii="Times New Roman" w:hAnsi="Times New Roman" w:cs="Times New Roman"/>
          <w:sz w:val="24"/>
          <w:szCs w:val="24"/>
          <w:lang w:val="en-US"/>
        </w:rPr>
        <w:t xml:space="preserve"> was non-significant (</w:t>
      </w:r>
      <w:r>
        <w:rPr>
          <w:rFonts w:ascii="Times New Roman" w:hAnsi="Times New Roman" w:cs="Times New Roman"/>
          <w:i/>
          <w:sz w:val="24"/>
          <w:szCs w:val="24"/>
          <w:lang w:val="en-US"/>
        </w:rPr>
        <w:t>F</w:t>
      </w:r>
      <w:r>
        <w:rPr>
          <w:rFonts w:ascii="Times New Roman" w:hAnsi="Times New Roman" w:cs="Times New Roman"/>
          <w:sz w:val="24"/>
          <w:szCs w:val="24"/>
          <w:vertAlign w:val="subscript"/>
          <w:lang w:val="en-US"/>
        </w:rPr>
        <w:t>2</w:t>
      </w:r>
      <w:proofErr w:type="gramStart"/>
      <w:r>
        <w:rPr>
          <w:rFonts w:ascii="Times New Roman" w:hAnsi="Times New Roman" w:cs="Times New Roman"/>
          <w:sz w:val="24"/>
          <w:szCs w:val="24"/>
          <w:vertAlign w:val="subscript"/>
          <w:lang w:val="en-US"/>
        </w:rPr>
        <w:t>,119</w:t>
      </w:r>
      <w:proofErr w:type="gramEnd"/>
      <w:r>
        <w:rPr>
          <w:rFonts w:ascii="Times New Roman" w:hAnsi="Times New Roman" w:cs="Times New Roman"/>
          <w:sz w:val="24"/>
          <w:szCs w:val="24"/>
          <w:vertAlign w:val="subscript"/>
          <w:lang w:val="en-US"/>
        </w:rPr>
        <w:t xml:space="preserve"> </w:t>
      </w:r>
      <w:r>
        <w:rPr>
          <w:rFonts w:ascii="Times New Roman" w:hAnsi="Times New Roman" w:cs="Times New Roman"/>
          <w:sz w:val="24"/>
          <w:szCs w:val="24"/>
          <w:lang w:val="en-US"/>
        </w:rPr>
        <w:t xml:space="preserve">= 3.1, </w:t>
      </w:r>
      <w:r>
        <w:rPr>
          <w:rFonts w:ascii="Times New Roman" w:hAnsi="Times New Roman" w:cs="Times New Roman"/>
          <w:i/>
          <w:sz w:val="24"/>
          <w:szCs w:val="24"/>
          <w:lang w:val="en-US"/>
        </w:rPr>
        <w:t>p</w:t>
      </w:r>
      <w:r>
        <w:rPr>
          <w:rFonts w:ascii="Times New Roman" w:hAnsi="Times New Roman" w:cs="Times New Roman"/>
          <w:sz w:val="24"/>
          <w:szCs w:val="24"/>
          <w:lang w:val="en-US"/>
        </w:rPr>
        <w:t xml:space="preserve"> = .050, </w:t>
      </w:r>
      <w:r>
        <w:rPr>
          <w:rFonts w:ascii="Times New Roman" w:hAnsi="Times New Roman" w:cs="Times New Roman"/>
          <w:i/>
          <w:sz w:val="24"/>
          <w:szCs w:val="24"/>
          <w:lang w:val="en-US"/>
        </w:rPr>
        <w:t>η²</w:t>
      </w:r>
      <w:r>
        <w:rPr>
          <w:rFonts w:ascii="Times New Roman" w:hAnsi="Times New Roman" w:cs="Times New Roman"/>
          <w:sz w:val="24"/>
          <w:szCs w:val="24"/>
          <w:lang w:val="en-US"/>
        </w:rPr>
        <w:t xml:space="preserve"> = .05). </w:t>
      </w:r>
      <w:r w:rsidR="00953C5A">
        <w:rPr>
          <w:rFonts w:ascii="Times New Roman" w:hAnsi="Times New Roman" w:cs="Times New Roman"/>
          <w:sz w:val="24"/>
          <w:szCs w:val="24"/>
        </w:rPr>
        <w:t>Su</w:t>
      </w:r>
      <w:r w:rsidR="006636EB">
        <w:rPr>
          <w:rFonts w:ascii="Times New Roman" w:hAnsi="Times New Roman" w:cs="Times New Roman"/>
          <w:sz w:val="24"/>
          <w:szCs w:val="24"/>
        </w:rPr>
        <w:t>pplementary Figure 3 illustrates</w:t>
      </w:r>
      <w:r w:rsidR="00953C5A">
        <w:rPr>
          <w:rFonts w:ascii="Times New Roman" w:hAnsi="Times New Roman" w:cs="Times New Roman"/>
          <w:sz w:val="24"/>
          <w:szCs w:val="24"/>
        </w:rPr>
        <w:t xml:space="preserve"> the </w:t>
      </w:r>
      <w:r w:rsidR="00953C5A">
        <w:rPr>
          <w:rFonts w:ascii="Times New Roman" w:hAnsi="Times New Roman" w:cs="Times New Roman"/>
          <w:sz w:val="24"/>
          <w:szCs w:val="24"/>
          <w:lang w:val="en-US"/>
        </w:rPr>
        <w:t>absolute values for endorsement of negative and positive targets.</w:t>
      </w:r>
    </w:p>
    <w:p w14:paraId="7340A172" w14:textId="78071B47" w:rsidR="006636EB" w:rsidRPr="006636EB" w:rsidRDefault="006636EB" w:rsidP="00FF7DDB">
      <w:pPr>
        <w:spacing w:line="360" w:lineRule="auto"/>
        <w:rPr>
          <w:rFonts w:ascii="Times New Roman" w:hAnsi="Times New Roman" w:cs="Times New Roman"/>
          <w:color w:val="FF0000"/>
          <w:sz w:val="24"/>
          <w:szCs w:val="24"/>
          <w:lang w:val="en-US"/>
        </w:rPr>
      </w:pPr>
      <w:r>
        <w:rPr>
          <w:noProof/>
          <w:lang w:val="de-DE" w:eastAsia="de-DE"/>
        </w:rPr>
        <w:drawing>
          <wp:inline distT="0" distB="0" distL="0" distR="0" wp14:anchorId="3819A938" wp14:editId="77472BEA">
            <wp:extent cx="4907280" cy="2442210"/>
            <wp:effectExtent l="0" t="0" r="26670" b="15240"/>
            <wp:docPr id="5" name="Diagramm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Pr>
          <w:rFonts w:ascii="Times New Roman" w:hAnsi="Times New Roman" w:cs="Times New Roman"/>
          <w:b/>
          <w:sz w:val="20"/>
          <w:szCs w:val="20"/>
        </w:rPr>
        <w:t>Supplementary Figure 3</w:t>
      </w:r>
      <w:r w:rsidRPr="002D2FAE">
        <w:rPr>
          <w:rFonts w:ascii="Times New Roman" w:hAnsi="Times New Roman" w:cs="Times New Roman"/>
          <w:b/>
          <w:sz w:val="20"/>
          <w:szCs w:val="20"/>
        </w:rPr>
        <w:t>:</w:t>
      </w:r>
      <w:r w:rsidRPr="002D2FAE">
        <w:rPr>
          <w:rFonts w:ascii="Times New Roman" w:hAnsi="Times New Roman" w:cs="Times New Roman"/>
          <w:sz w:val="20"/>
          <w:szCs w:val="20"/>
        </w:rPr>
        <w:t xml:space="preserve"> </w:t>
      </w:r>
      <w:r>
        <w:rPr>
          <w:rFonts w:ascii="Times New Roman" w:hAnsi="Times New Roman" w:cs="Times New Roman"/>
          <w:sz w:val="20"/>
          <w:szCs w:val="20"/>
        </w:rPr>
        <w:t xml:space="preserve">Mean </w:t>
      </w:r>
      <w:r>
        <w:rPr>
          <w:rFonts w:ascii="Times New Roman" w:hAnsi="Times New Roman" w:cs="Times New Roman"/>
          <w:sz w:val="20"/>
          <w:szCs w:val="20"/>
        </w:rPr>
        <w:t>absolute values for the endorsement of negative and positive targets</w:t>
      </w:r>
      <w:r>
        <w:rPr>
          <w:rFonts w:ascii="Times New Roman" w:hAnsi="Times New Roman" w:cs="Times New Roman"/>
          <w:sz w:val="20"/>
          <w:szCs w:val="20"/>
        </w:rPr>
        <w:t>. Error bars represent standard deviations.</w:t>
      </w:r>
    </w:p>
    <w:p w14:paraId="5F8E245B" w14:textId="006CA5F3" w:rsidR="00CF3A23" w:rsidRPr="00FF7DDB" w:rsidRDefault="00FF7DDB" w:rsidP="00FF7DDB">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These results indicate that the group differences in the AST were mainly driven by difference in the endorsement of </w:t>
      </w:r>
      <w:r w:rsidRPr="00A3178F">
        <w:rPr>
          <w:rFonts w:ascii="Times New Roman" w:hAnsi="Times New Roman" w:cs="Times New Roman"/>
          <w:i/>
          <w:sz w:val="24"/>
          <w:szCs w:val="24"/>
          <w:lang w:val="en-US"/>
        </w:rPr>
        <w:t>negative</w:t>
      </w:r>
      <w:r>
        <w:rPr>
          <w:rFonts w:ascii="Times New Roman" w:hAnsi="Times New Roman" w:cs="Times New Roman"/>
          <w:sz w:val="24"/>
          <w:szCs w:val="24"/>
          <w:lang w:val="en-US"/>
        </w:rPr>
        <w:t xml:space="preserve"> interpretations, which the MD group was more likely to endorse than the HR and LR groups. Descriptively, the MD group was also less likely to endorse positive interpretations than the HR and LR groups, but differences for positive interpretations were not significant.</w:t>
      </w:r>
      <w:bookmarkStart w:id="3" w:name="_GoBack"/>
      <w:bookmarkEnd w:id="3"/>
    </w:p>
    <w:sectPr w:rsidR="00CF3A23" w:rsidRPr="00FF7DDB" w:rsidSect="00B47824">
      <w:headerReference w:type="default" r:id="rId12"/>
      <w:footerReference w:type="default" r:id="rId13"/>
      <w:pgSz w:w="11906" w:h="16838"/>
      <w:pgMar w:top="1440" w:right="1440" w:bottom="1440" w:left="1440" w:header="425" w:footer="14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44FEB7" w14:textId="77777777" w:rsidR="0097017E" w:rsidRDefault="0097017E" w:rsidP="00FC486C">
      <w:pPr>
        <w:spacing w:after="0" w:line="240" w:lineRule="auto"/>
      </w:pPr>
      <w:r>
        <w:separator/>
      </w:r>
    </w:p>
  </w:endnote>
  <w:endnote w:type="continuationSeparator" w:id="0">
    <w:p w14:paraId="48F88CAC" w14:textId="77777777" w:rsidR="0097017E" w:rsidRDefault="0097017E" w:rsidP="00FC48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5607840"/>
      <w:docPartObj>
        <w:docPartGallery w:val="Page Numbers (Bottom of Page)"/>
        <w:docPartUnique/>
      </w:docPartObj>
    </w:sdtPr>
    <w:sdtEndPr>
      <w:rPr>
        <w:rFonts w:ascii="Times New Roman" w:hAnsi="Times New Roman" w:cs="Times New Roman"/>
        <w:sz w:val="20"/>
        <w:szCs w:val="20"/>
      </w:rPr>
    </w:sdtEndPr>
    <w:sdtContent>
      <w:p w14:paraId="63D63E79" w14:textId="77777777" w:rsidR="0097017E" w:rsidRPr="00734998" w:rsidRDefault="0097017E">
        <w:pPr>
          <w:pStyle w:val="Fuzeile"/>
          <w:jc w:val="right"/>
          <w:rPr>
            <w:rFonts w:ascii="Times New Roman" w:hAnsi="Times New Roman" w:cs="Times New Roman"/>
            <w:sz w:val="20"/>
            <w:szCs w:val="20"/>
          </w:rPr>
        </w:pPr>
        <w:r w:rsidRPr="00734998">
          <w:rPr>
            <w:rFonts w:ascii="Times New Roman" w:hAnsi="Times New Roman" w:cs="Times New Roman"/>
            <w:sz w:val="20"/>
            <w:szCs w:val="20"/>
          </w:rPr>
          <w:fldChar w:fldCharType="begin"/>
        </w:r>
        <w:r w:rsidRPr="00734998">
          <w:rPr>
            <w:rFonts w:ascii="Times New Roman" w:hAnsi="Times New Roman" w:cs="Times New Roman"/>
            <w:sz w:val="20"/>
            <w:szCs w:val="20"/>
          </w:rPr>
          <w:instrText>PAGE   \* MERGEFORMAT</w:instrText>
        </w:r>
        <w:r w:rsidRPr="00734998">
          <w:rPr>
            <w:rFonts w:ascii="Times New Roman" w:hAnsi="Times New Roman" w:cs="Times New Roman"/>
            <w:sz w:val="20"/>
            <w:szCs w:val="20"/>
          </w:rPr>
          <w:fldChar w:fldCharType="separate"/>
        </w:r>
        <w:r w:rsidR="00D718EE" w:rsidRPr="00D718EE">
          <w:rPr>
            <w:rFonts w:ascii="Times New Roman" w:hAnsi="Times New Roman" w:cs="Times New Roman"/>
            <w:noProof/>
            <w:sz w:val="20"/>
            <w:szCs w:val="20"/>
            <w:lang w:val="de-DE"/>
          </w:rPr>
          <w:t>6</w:t>
        </w:r>
        <w:r w:rsidRPr="00734998">
          <w:rPr>
            <w:rFonts w:ascii="Times New Roman" w:hAnsi="Times New Roman" w:cs="Times New Roman"/>
            <w:sz w:val="20"/>
            <w:szCs w:val="20"/>
          </w:rPr>
          <w:fldChar w:fldCharType="end"/>
        </w:r>
      </w:p>
    </w:sdtContent>
  </w:sdt>
  <w:p w14:paraId="2D278518" w14:textId="77777777" w:rsidR="0097017E" w:rsidRDefault="0097017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F60A23" w14:textId="77777777" w:rsidR="0097017E" w:rsidRDefault="0097017E" w:rsidP="00FC486C">
      <w:pPr>
        <w:spacing w:after="0" w:line="240" w:lineRule="auto"/>
      </w:pPr>
      <w:r>
        <w:separator/>
      </w:r>
    </w:p>
  </w:footnote>
  <w:footnote w:type="continuationSeparator" w:id="0">
    <w:p w14:paraId="3D6E0977" w14:textId="77777777" w:rsidR="0097017E" w:rsidRDefault="0097017E" w:rsidP="00FC48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AF06C3" w14:textId="099AF3FB" w:rsidR="0097017E" w:rsidRPr="00794A11" w:rsidRDefault="00794A11" w:rsidP="00794A11">
    <w:pPr>
      <w:tabs>
        <w:tab w:val="left" w:pos="284"/>
      </w:tabs>
      <w:spacing w:line="360" w:lineRule="auto"/>
      <w:rPr>
        <w:rFonts w:ascii="Times New Roman" w:hAnsi="Times New Roman" w:cs="Times New Roman"/>
        <w:sz w:val="20"/>
        <w:szCs w:val="20"/>
      </w:rPr>
    </w:pPr>
    <w:r w:rsidRPr="00794A11">
      <w:rPr>
        <w:rFonts w:ascii="Times New Roman" w:hAnsi="Times New Roman" w:cs="Times New Roman"/>
        <w:sz w:val="20"/>
        <w:szCs w:val="20"/>
      </w:rPr>
      <w:t xml:space="preserve">“I am a total…loser” – The Role of Interpretation Biases in Youth Depression </w:t>
    </w:r>
    <w:r w:rsidR="0097017E">
      <w:rPr>
        <w:rFonts w:ascii="Times New Roman" w:hAnsi="Times New Roman" w:cs="Times New Roman"/>
        <w:sz w:val="20"/>
        <w:szCs w:val="20"/>
      </w:rPr>
      <w:t xml:space="preserve">(Sfärlea et al.) </w:t>
    </w:r>
    <w:r w:rsidR="003460F1">
      <w:rPr>
        <w:rFonts w:ascii="Times New Roman" w:hAnsi="Times New Roman" w:cs="Times New Roman"/>
        <w:sz w:val="20"/>
        <w:szCs w:val="20"/>
      </w:rPr>
      <w:br/>
    </w:r>
    <w:r w:rsidR="0097017E">
      <w:rPr>
        <w:rFonts w:ascii="Times New Roman" w:hAnsi="Times New Roman" w:cs="Times New Roman"/>
        <w:sz w:val="20"/>
        <w:szCs w:val="20"/>
      </w:rPr>
      <w:t>– Supplementa</w:t>
    </w:r>
    <w:r w:rsidR="003460F1">
      <w:rPr>
        <w:rFonts w:ascii="Times New Roman" w:hAnsi="Times New Roman" w:cs="Times New Roman"/>
        <w:sz w:val="20"/>
        <w:szCs w:val="20"/>
      </w:rPr>
      <w:t>ry</w:t>
    </w:r>
    <w:r>
      <w:rPr>
        <w:rFonts w:ascii="Times New Roman" w:hAnsi="Times New Roman" w:cs="Times New Roman"/>
        <w:sz w:val="20"/>
        <w:szCs w:val="20"/>
      </w:rPr>
      <w:t xml:space="preserve"> material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967FB7"/>
    <w:rsid w:val="000023B8"/>
    <w:rsid w:val="000159AC"/>
    <w:rsid w:val="000451BD"/>
    <w:rsid w:val="000559F2"/>
    <w:rsid w:val="00063E08"/>
    <w:rsid w:val="00070D21"/>
    <w:rsid w:val="000851F8"/>
    <w:rsid w:val="000A034E"/>
    <w:rsid w:val="000A44F0"/>
    <w:rsid w:val="000C2C6D"/>
    <w:rsid w:val="000E30DC"/>
    <w:rsid w:val="00101E00"/>
    <w:rsid w:val="00104382"/>
    <w:rsid w:val="0014382A"/>
    <w:rsid w:val="00144AF4"/>
    <w:rsid w:val="00163C9F"/>
    <w:rsid w:val="001650E8"/>
    <w:rsid w:val="00176864"/>
    <w:rsid w:val="00177416"/>
    <w:rsid w:val="001D4938"/>
    <w:rsid w:val="001E36C0"/>
    <w:rsid w:val="001E5536"/>
    <w:rsid w:val="001E7995"/>
    <w:rsid w:val="00262C1C"/>
    <w:rsid w:val="002731E3"/>
    <w:rsid w:val="002F79B2"/>
    <w:rsid w:val="003131E8"/>
    <w:rsid w:val="003460F1"/>
    <w:rsid w:val="00381774"/>
    <w:rsid w:val="003A6B09"/>
    <w:rsid w:val="003C2196"/>
    <w:rsid w:val="003D1857"/>
    <w:rsid w:val="004515D8"/>
    <w:rsid w:val="00483633"/>
    <w:rsid w:val="00491B9B"/>
    <w:rsid w:val="004B7808"/>
    <w:rsid w:val="005562B5"/>
    <w:rsid w:val="006367FA"/>
    <w:rsid w:val="006636EB"/>
    <w:rsid w:val="00672434"/>
    <w:rsid w:val="006C0400"/>
    <w:rsid w:val="006D438C"/>
    <w:rsid w:val="006E1878"/>
    <w:rsid w:val="006E2B2A"/>
    <w:rsid w:val="006E3453"/>
    <w:rsid w:val="00734998"/>
    <w:rsid w:val="00737B35"/>
    <w:rsid w:val="007458C1"/>
    <w:rsid w:val="00755C07"/>
    <w:rsid w:val="00785896"/>
    <w:rsid w:val="00794A11"/>
    <w:rsid w:val="007C3E09"/>
    <w:rsid w:val="00803591"/>
    <w:rsid w:val="008472F4"/>
    <w:rsid w:val="00853F36"/>
    <w:rsid w:val="008953B2"/>
    <w:rsid w:val="008B1108"/>
    <w:rsid w:val="008B7D25"/>
    <w:rsid w:val="00900796"/>
    <w:rsid w:val="009142E1"/>
    <w:rsid w:val="009160A5"/>
    <w:rsid w:val="00951493"/>
    <w:rsid w:val="00953C5A"/>
    <w:rsid w:val="00965CFF"/>
    <w:rsid w:val="00967FB7"/>
    <w:rsid w:val="0097017E"/>
    <w:rsid w:val="0098598C"/>
    <w:rsid w:val="00996688"/>
    <w:rsid w:val="009D5BC6"/>
    <w:rsid w:val="009E2AA3"/>
    <w:rsid w:val="00A46610"/>
    <w:rsid w:val="00A956BF"/>
    <w:rsid w:val="00AB2CB1"/>
    <w:rsid w:val="00AE4F1F"/>
    <w:rsid w:val="00AE521F"/>
    <w:rsid w:val="00B47824"/>
    <w:rsid w:val="00C0680C"/>
    <w:rsid w:val="00C15186"/>
    <w:rsid w:val="00C655B2"/>
    <w:rsid w:val="00C70905"/>
    <w:rsid w:val="00C82229"/>
    <w:rsid w:val="00C86DE4"/>
    <w:rsid w:val="00CA6D6B"/>
    <w:rsid w:val="00CD0A15"/>
    <w:rsid w:val="00CF3A23"/>
    <w:rsid w:val="00D32BAB"/>
    <w:rsid w:val="00D528C9"/>
    <w:rsid w:val="00D718EE"/>
    <w:rsid w:val="00D72928"/>
    <w:rsid w:val="00D80979"/>
    <w:rsid w:val="00D9698F"/>
    <w:rsid w:val="00DA0014"/>
    <w:rsid w:val="00DB6D62"/>
    <w:rsid w:val="00E203C6"/>
    <w:rsid w:val="00E350F5"/>
    <w:rsid w:val="00E42B03"/>
    <w:rsid w:val="00E820F1"/>
    <w:rsid w:val="00E822D6"/>
    <w:rsid w:val="00E86413"/>
    <w:rsid w:val="00E9228A"/>
    <w:rsid w:val="00EA7BAA"/>
    <w:rsid w:val="00EB2D90"/>
    <w:rsid w:val="00EB5D27"/>
    <w:rsid w:val="00F00DCD"/>
    <w:rsid w:val="00F423D7"/>
    <w:rsid w:val="00F5709E"/>
    <w:rsid w:val="00F70199"/>
    <w:rsid w:val="00F73558"/>
    <w:rsid w:val="00F75096"/>
    <w:rsid w:val="00F80A0C"/>
    <w:rsid w:val="00FC486C"/>
    <w:rsid w:val="00FE10D0"/>
    <w:rsid w:val="00FE6889"/>
    <w:rsid w:val="00FE7700"/>
    <w:rsid w:val="00FF7D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F4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67FB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967FB7"/>
    <w:rPr>
      <w:sz w:val="16"/>
      <w:szCs w:val="16"/>
    </w:rPr>
  </w:style>
  <w:style w:type="paragraph" w:styleId="Kommentartext">
    <w:name w:val="annotation text"/>
    <w:basedOn w:val="Standard"/>
    <w:link w:val="KommentartextZchn"/>
    <w:uiPriority w:val="99"/>
    <w:unhideWhenUsed/>
    <w:rsid w:val="00967FB7"/>
    <w:pPr>
      <w:spacing w:line="240" w:lineRule="auto"/>
    </w:pPr>
    <w:rPr>
      <w:sz w:val="20"/>
      <w:szCs w:val="20"/>
    </w:rPr>
  </w:style>
  <w:style w:type="character" w:customStyle="1" w:styleId="KommentartextZchn">
    <w:name w:val="Kommentartext Zchn"/>
    <w:basedOn w:val="Absatz-Standardschriftart"/>
    <w:link w:val="Kommentartext"/>
    <w:uiPriority w:val="99"/>
    <w:rsid w:val="00967FB7"/>
    <w:rPr>
      <w:sz w:val="20"/>
      <w:szCs w:val="20"/>
    </w:rPr>
  </w:style>
  <w:style w:type="paragraph" w:styleId="Kommentarthema">
    <w:name w:val="annotation subject"/>
    <w:basedOn w:val="Kommentartext"/>
    <w:next w:val="Kommentartext"/>
    <w:link w:val="KommentarthemaZchn"/>
    <w:uiPriority w:val="99"/>
    <w:semiHidden/>
    <w:unhideWhenUsed/>
    <w:rsid w:val="00967FB7"/>
    <w:rPr>
      <w:b/>
      <w:bCs/>
    </w:rPr>
  </w:style>
  <w:style w:type="character" w:customStyle="1" w:styleId="KommentarthemaZchn">
    <w:name w:val="Kommentarthema Zchn"/>
    <w:basedOn w:val="KommentartextZchn"/>
    <w:link w:val="Kommentarthema"/>
    <w:uiPriority w:val="99"/>
    <w:semiHidden/>
    <w:rsid w:val="00967FB7"/>
    <w:rPr>
      <w:b/>
      <w:bCs/>
      <w:sz w:val="20"/>
      <w:szCs w:val="20"/>
    </w:rPr>
  </w:style>
  <w:style w:type="paragraph" w:styleId="Sprechblasentext">
    <w:name w:val="Balloon Text"/>
    <w:basedOn w:val="Standard"/>
    <w:link w:val="SprechblasentextZchn"/>
    <w:uiPriority w:val="99"/>
    <w:semiHidden/>
    <w:unhideWhenUsed/>
    <w:rsid w:val="00967FB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67FB7"/>
    <w:rPr>
      <w:rFonts w:ascii="Tahoma" w:hAnsi="Tahoma" w:cs="Tahoma"/>
      <w:sz w:val="16"/>
      <w:szCs w:val="16"/>
    </w:rPr>
  </w:style>
  <w:style w:type="paragraph" w:styleId="Beschriftung">
    <w:name w:val="caption"/>
    <w:basedOn w:val="Standard"/>
    <w:next w:val="Standard"/>
    <w:uiPriority w:val="35"/>
    <w:unhideWhenUsed/>
    <w:qFormat/>
    <w:rsid w:val="00967FB7"/>
    <w:pPr>
      <w:spacing w:line="240" w:lineRule="auto"/>
    </w:pPr>
    <w:rPr>
      <w:b/>
      <w:bCs/>
      <w:color w:val="4F81BD" w:themeColor="accent1"/>
      <w:sz w:val="18"/>
      <w:szCs w:val="18"/>
    </w:rPr>
  </w:style>
  <w:style w:type="character" w:styleId="Hyperlink">
    <w:name w:val="Hyperlink"/>
    <w:basedOn w:val="Absatz-Standardschriftart"/>
    <w:uiPriority w:val="99"/>
    <w:unhideWhenUsed/>
    <w:rsid w:val="00967FB7"/>
    <w:rPr>
      <w:color w:val="0000FF" w:themeColor="hyperlink"/>
      <w:u w:val="single"/>
    </w:rPr>
  </w:style>
  <w:style w:type="paragraph" w:styleId="Kopfzeile">
    <w:name w:val="header"/>
    <w:basedOn w:val="Standard"/>
    <w:link w:val="KopfzeileZchn"/>
    <w:uiPriority w:val="99"/>
    <w:unhideWhenUsed/>
    <w:rsid w:val="00FC486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C486C"/>
  </w:style>
  <w:style w:type="paragraph" w:styleId="Fuzeile">
    <w:name w:val="footer"/>
    <w:basedOn w:val="Standard"/>
    <w:link w:val="FuzeileZchn"/>
    <w:uiPriority w:val="99"/>
    <w:unhideWhenUsed/>
    <w:rsid w:val="00FC486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C486C"/>
  </w:style>
  <w:style w:type="table" w:styleId="Tabellenraster">
    <w:name w:val="Table Grid"/>
    <w:basedOn w:val="NormaleTabelle"/>
    <w:uiPriority w:val="59"/>
    <w:rsid w:val="000E30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unhideWhenUsed/>
    <w:rsid w:val="00CF3A23"/>
    <w:pPr>
      <w:spacing w:after="0" w:line="240" w:lineRule="auto"/>
    </w:pPr>
    <w:rPr>
      <w:sz w:val="20"/>
      <w:szCs w:val="20"/>
    </w:rPr>
  </w:style>
  <w:style w:type="character" w:customStyle="1" w:styleId="FunotentextZchn">
    <w:name w:val="Fußnotentext Zchn"/>
    <w:basedOn w:val="Absatz-Standardschriftart"/>
    <w:link w:val="Funotentext"/>
    <w:uiPriority w:val="99"/>
    <w:rsid w:val="00CF3A23"/>
    <w:rPr>
      <w:sz w:val="20"/>
      <w:szCs w:val="20"/>
    </w:rPr>
  </w:style>
  <w:style w:type="character" w:styleId="Funotenzeichen">
    <w:name w:val="footnote reference"/>
    <w:basedOn w:val="Absatz-Standardschriftart"/>
    <w:uiPriority w:val="99"/>
    <w:semiHidden/>
    <w:unhideWhenUsed/>
    <w:rsid w:val="00CF3A2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67FB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967FB7"/>
    <w:rPr>
      <w:sz w:val="16"/>
      <w:szCs w:val="16"/>
    </w:rPr>
  </w:style>
  <w:style w:type="paragraph" w:styleId="Kommentartext">
    <w:name w:val="annotation text"/>
    <w:basedOn w:val="Standard"/>
    <w:link w:val="KommentartextZchn"/>
    <w:uiPriority w:val="99"/>
    <w:unhideWhenUsed/>
    <w:rsid w:val="00967FB7"/>
    <w:pPr>
      <w:spacing w:line="240" w:lineRule="auto"/>
    </w:pPr>
    <w:rPr>
      <w:sz w:val="20"/>
      <w:szCs w:val="20"/>
    </w:rPr>
  </w:style>
  <w:style w:type="character" w:customStyle="1" w:styleId="KommentartextZchn">
    <w:name w:val="Kommentartext Zchn"/>
    <w:basedOn w:val="Absatz-Standardschriftart"/>
    <w:link w:val="Kommentartext"/>
    <w:uiPriority w:val="99"/>
    <w:rsid w:val="00967FB7"/>
    <w:rPr>
      <w:sz w:val="20"/>
      <w:szCs w:val="20"/>
    </w:rPr>
  </w:style>
  <w:style w:type="paragraph" w:styleId="Kommentarthema">
    <w:name w:val="annotation subject"/>
    <w:basedOn w:val="Kommentartext"/>
    <w:next w:val="Kommentartext"/>
    <w:link w:val="KommentarthemaZchn"/>
    <w:uiPriority w:val="99"/>
    <w:semiHidden/>
    <w:unhideWhenUsed/>
    <w:rsid w:val="00967FB7"/>
    <w:rPr>
      <w:b/>
      <w:bCs/>
    </w:rPr>
  </w:style>
  <w:style w:type="character" w:customStyle="1" w:styleId="KommentarthemaZchn">
    <w:name w:val="Kommentarthema Zchn"/>
    <w:basedOn w:val="KommentartextZchn"/>
    <w:link w:val="Kommentarthema"/>
    <w:uiPriority w:val="99"/>
    <w:semiHidden/>
    <w:rsid w:val="00967FB7"/>
    <w:rPr>
      <w:b/>
      <w:bCs/>
      <w:sz w:val="20"/>
      <w:szCs w:val="20"/>
    </w:rPr>
  </w:style>
  <w:style w:type="paragraph" w:styleId="Sprechblasentext">
    <w:name w:val="Balloon Text"/>
    <w:basedOn w:val="Standard"/>
    <w:link w:val="SprechblasentextZchn"/>
    <w:uiPriority w:val="99"/>
    <w:semiHidden/>
    <w:unhideWhenUsed/>
    <w:rsid w:val="00967FB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67FB7"/>
    <w:rPr>
      <w:rFonts w:ascii="Tahoma" w:hAnsi="Tahoma" w:cs="Tahoma"/>
      <w:sz w:val="16"/>
      <w:szCs w:val="16"/>
    </w:rPr>
  </w:style>
  <w:style w:type="paragraph" w:styleId="Beschriftung">
    <w:name w:val="caption"/>
    <w:basedOn w:val="Standard"/>
    <w:next w:val="Standard"/>
    <w:uiPriority w:val="35"/>
    <w:unhideWhenUsed/>
    <w:qFormat/>
    <w:rsid w:val="00967FB7"/>
    <w:pPr>
      <w:spacing w:line="240" w:lineRule="auto"/>
    </w:pPr>
    <w:rPr>
      <w:b/>
      <w:bCs/>
      <w:color w:val="4F81BD" w:themeColor="accent1"/>
      <w:sz w:val="18"/>
      <w:szCs w:val="18"/>
    </w:rPr>
  </w:style>
  <w:style w:type="character" w:styleId="Hyperlink">
    <w:name w:val="Hyperlink"/>
    <w:basedOn w:val="Absatz-Standardschriftart"/>
    <w:uiPriority w:val="99"/>
    <w:unhideWhenUsed/>
    <w:rsid w:val="00967FB7"/>
    <w:rPr>
      <w:color w:val="0000FF" w:themeColor="hyperlink"/>
      <w:u w:val="single"/>
    </w:rPr>
  </w:style>
  <w:style w:type="paragraph" w:styleId="Kopfzeile">
    <w:name w:val="header"/>
    <w:basedOn w:val="Standard"/>
    <w:link w:val="KopfzeileZchn"/>
    <w:uiPriority w:val="99"/>
    <w:unhideWhenUsed/>
    <w:rsid w:val="00FC486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C486C"/>
  </w:style>
  <w:style w:type="paragraph" w:styleId="Fuzeile">
    <w:name w:val="footer"/>
    <w:basedOn w:val="Standard"/>
    <w:link w:val="FuzeileZchn"/>
    <w:uiPriority w:val="99"/>
    <w:unhideWhenUsed/>
    <w:rsid w:val="00FC486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C486C"/>
  </w:style>
  <w:style w:type="table" w:styleId="Tabellenraster">
    <w:name w:val="Table Grid"/>
    <w:basedOn w:val="NormaleTabelle"/>
    <w:uiPriority w:val="59"/>
    <w:rsid w:val="000E30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unhideWhenUsed/>
    <w:rsid w:val="00CF3A23"/>
    <w:pPr>
      <w:spacing w:after="0" w:line="240" w:lineRule="auto"/>
    </w:pPr>
    <w:rPr>
      <w:sz w:val="20"/>
      <w:szCs w:val="20"/>
    </w:rPr>
  </w:style>
  <w:style w:type="character" w:customStyle="1" w:styleId="FunotentextZchn">
    <w:name w:val="Fußnotentext Zchn"/>
    <w:basedOn w:val="Absatz-Standardschriftart"/>
    <w:link w:val="Funotentext"/>
    <w:uiPriority w:val="99"/>
    <w:rsid w:val="00CF3A23"/>
    <w:rPr>
      <w:sz w:val="20"/>
      <w:szCs w:val="20"/>
    </w:rPr>
  </w:style>
  <w:style w:type="character" w:styleId="Funotenzeichen">
    <w:name w:val="footnote reference"/>
    <w:basedOn w:val="Absatz-Standardschriftart"/>
    <w:uiPriority w:val="99"/>
    <w:semiHidden/>
    <w:unhideWhenUsed/>
    <w:rsid w:val="00CF3A2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373084">
      <w:bodyDiv w:val="1"/>
      <w:marLeft w:val="0"/>
      <w:marRight w:val="0"/>
      <w:marTop w:val="0"/>
      <w:marBottom w:val="0"/>
      <w:divBdr>
        <w:top w:val="none" w:sz="0" w:space="0" w:color="auto"/>
        <w:left w:val="none" w:sz="0" w:space="0" w:color="auto"/>
        <w:bottom w:val="none" w:sz="0" w:space="0" w:color="auto"/>
        <w:right w:val="none" w:sz="0" w:space="0" w:color="auto"/>
      </w:divBdr>
    </w:div>
    <w:div w:id="472217484">
      <w:bodyDiv w:val="1"/>
      <w:marLeft w:val="0"/>
      <w:marRight w:val="0"/>
      <w:marTop w:val="0"/>
      <w:marBottom w:val="0"/>
      <w:divBdr>
        <w:top w:val="none" w:sz="0" w:space="0" w:color="auto"/>
        <w:left w:val="none" w:sz="0" w:space="0" w:color="auto"/>
        <w:bottom w:val="none" w:sz="0" w:space="0" w:color="auto"/>
        <w:right w:val="none" w:sz="0" w:space="0" w:color="auto"/>
      </w:divBdr>
    </w:div>
    <w:div w:id="950167277">
      <w:bodyDiv w:val="1"/>
      <w:marLeft w:val="0"/>
      <w:marRight w:val="0"/>
      <w:marTop w:val="0"/>
      <w:marBottom w:val="0"/>
      <w:divBdr>
        <w:top w:val="none" w:sz="0" w:space="0" w:color="auto"/>
        <w:left w:val="none" w:sz="0" w:space="0" w:color="auto"/>
        <w:bottom w:val="none" w:sz="0" w:space="0" w:color="auto"/>
        <w:right w:val="none" w:sz="0" w:space="0" w:color="auto"/>
      </w:divBdr>
    </w:div>
    <w:div w:id="1065496782">
      <w:bodyDiv w:val="1"/>
      <w:marLeft w:val="0"/>
      <w:marRight w:val="0"/>
      <w:marTop w:val="0"/>
      <w:marBottom w:val="0"/>
      <w:divBdr>
        <w:top w:val="none" w:sz="0" w:space="0" w:color="auto"/>
        <w:left w:val="none" w:sz="0" w:space="0" w:color="auto"/>
        <w:bottom w:val="none" w:sz="0" w:space="0" w:color="auto"/>
        <w:right w:val="none" w:sz="0" w:space="0" w:color="auto"/>
      </w:divBdr>
    </w:div>
    <w:div w:id="1225946075">
      <w:bodyDiv w:val="1"/>
      <w:marLeft w:val="0"/>
      <w:marRight w:val="0"/>
      <w:marTop w:val="0"/>
      <w:marBottom w:val="0"/>
      <w:divBdr>
        <w:top w:val="none" w:sz="0" w:space="0" w:color="auto"/>
        <w:left w:val="none" w:sz="0" w:space="0" w:color="auto"/>
        <w:bottom w:val="none" w:sz="0" w:space="0" w:color="auto"/>
        <w:right w:val="none" w:sz="0" w:space="0" w:color="auto"/>
      </w:divBdr>
    </w:div>
    <w:div w:id="1406416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hyperlink" Target="https://doi.org/10.1016/j.dcn.2017.03.004" TargetMode="Externa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kjp0e789\forschung$\depression\GENERAIN\KROKO\Manuscripts\IB\Graph_Supplement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kjp0e789\forschung$\depression\GENERAIN\KROKO\Manuscripts\IB\Graph_Supplement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IB\Graphiken_IB.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'Supplement 1'!$C$9</c:f>
              <c:strCache>
                <c:ptCount val="1"/>
                <c:pt idx="0">
                  <c:v>MD</c:v>
                </c:pt>
              </c:strCache>
            </c:strRef>
          </c:tx>
          <c:invertIfNegative val="0"/>
          <c:errBars>
            <c:errBarType val="both"/>
            <c:errValType val="cust"/>
            <c:noEndCap val="0"/>
            <c:plus>
              <c:numRef>
                <c:f>'Supplement 1'!$D$12:$F$12</c:f>
                <c:numCache>
                  <c:formatCode>General</c:formatCode>
                  <c:ptCount val="3"/>
                  <c:pt idx="0">
                    <c:v>0.88</c:v>
                  </c:pt>
                  <c:pt idx="1">
                    <c:v>1.1299999999999999</c:v>
                  </c:pt>
                  <c:pt idx="2">
                    <c:v>0.78</c:v>
                  </c:pt>
                </c:numCache>
              </c:numRef>
            </c:plus>
            <c:minus>
              <c:numRef>
                <c:f>'Supplement 1'!$D$12:$F$12</c:f>
                <c:numCache>
                  <c:formatCode>General</c:formatCode>
                  <c:ptCount val="3"/>
                  <c:pt idx="0">
                    <c:v>0.88</c:v>
                  </c:pt>
                  <c:pt idx="1">
                    <c:v>1.1299999999999999</c:v>
                  </c:pt>
                  <c:pt idx="2">
                    <c:v>0.78</c:v>
                  </c:pt>
                </c:numCache>
              </c:numRef>
            </c:minus>
          </c:errBars>
          <c:cat>
            <c:strRef>
              <c:f>'Supplement 1'!$D$8:$F$8</c:f>
              <c:strCache>
                <c:ptCount val="3"/>
                <c:pt idx="0">
                  <c:v>positive</c:v>
                </c:pt>
                <c:pt idx="1">
                  <c:v>negative</c:v>
                </c:pt>
                <c:pt idx="2">
                  <c:v>unrelated</c:v>
                </c:pt>
              </c:strCache>
            </c:strRef>
          </c:cat>
          <c:val>
            <c:numRef>
              <c:f>'Supplement 1'!$D$9:$F$9</c:f>
              <c:numCache>
                <c:formatCode>General</c:formatCode>
                <c:ptCount val="3"/>
                <c:pt idx="0">
                  <c:v>3.06</c:v>
                </c:pt>
                <c:pt idx="1">
                  <c:v>4.59</c:v>
                </c:pt>
                <c:pt idx="2">
                  <c:v>3.79</c:v>
                </c:pt>
              </c:numCache>
            </c:numRef>
          </c:val>
        </c:ser>
        <c:ser>
          <c:idx val="1"/>
          <c:order val="1"/>
          <c:tx>
            <c:strRef>
              <c:f>'Supplement 1'!$C$10</c:f>
              <c:strCache>
                <c:ptCount val="1"/>
                <c:pt idx="0">
                  <c:v>HR</c:v>
                </c:pt>
              </c:strCache>
            </c:strRef>
          </c:tx>
          <c:invertIfNegative val="0"/>
          <c:errBars>
            <c:errBarType val="both"/>
            <c:errValType val="cust"/>
            <c:noEndCap val="0"/>
            <c:plus>
              <c:numRef>
                <c:f>'Supplement 1'!$D$13:$F$13</c:f>
                <c:numCache>
                  <c:formatCode>General</c:formatCode>
                  <c:ptCount val="3"/>
                  <c:pt idx="0">
                    <c:v>1.1000000000000001</c:v>
                  </c:pt>
                  <c:pt idx="1">
                    <c:v>1.01</c:v>
                  </c:pt>
                  <c:pt idx="2">
                    <c:v>0.8</c:v>
                  </c:pt>
                </c:numCache>
              </c:numRef>
            </c:plus>
            <c:minus>
              <c:numRef>
                <c:f>'Supplement 1'!$D$13:$F$13</c:f>
                <c:numCache>
                  <c:formatCode>General</c:formatCode>
                  <c:ptCount val="3"/>
                  <c:pt idx="0">
                    <c:v>1.1000000000000001</c:v>
                  </c:pt>
                  <c:pt idx="1">
                    <c:v>1.01</c:v>
                  </c:pt>
                  <c:pt idx="2">
                    <c:v>0.8</c:v>
                  </c:pt>
                </c:numCache>
              </c:numRef>
            </c:minus>
          </c:errBars>
          <c:cat>
            <c:strRef>
              <c:f>'Supplement 1'!$D$8:$F$8</c:f>
              <c:strCache>
                <c:ptCount val="3"/>
                <c:pt idx="0">
                  <c:v>positive</c:v>
                </c:pt>
                <c:pt idx="1">
                  <c:v>negative</c:v>
                </c:pt>
                <c:pt idx="2">
                  <c:v>unrelated</c:v>
                </c:pt>
              </c:strCache>
            </c:strRef>
          </c:cat>
          <c:val>
            <c:numRef>
              <c:f>'Supplement 1'!$D$10:$F$10</c:f>
              <c:numCache>
                <c:formatCode>General</c:formatCode>
                <c:ptCount val="3"/>
                <c:pt idx="0">
                  <c:v>3.59</c:v>
                </c:pt>
                <c:pt idx="1">
                  <c:v>4.2300000000000004</c:v>
                </c:pt>
                <c:pt idx="2">
                  <c:v>4.09</c:v>
                </c:pt>
              </c:numCache>
            </c:numRef>
          </c:val>
        </c:ser>
        <c:ser>
          <c:idx val="2"/>
          <c:order val="2"/>
          <c:tx>
            <c:strRef>
              <c:f>'Supplement 1'!$C$11</c:f>
              <c:strCache>
                <c:ptCount val="1"/>
                <c:pt idx="0">
                  <c:v>LR</c:v>
                </c:pt>
              </c:strCache>
            </c:strRef>
          </c:tx>
          <c:invertIfNegative val="0"/>
          <c:errBars>
            <c:errBarType val="both"/>
            <c:errValType val="cust"/>
            <c:noEndCap val="0"/>
            <c:plus>
              <c:numRef>
                <c:f>'Supplement 1'!$D$14:$F$14</c:f>
                <c:numCache>
                  <c:formatCode>General</c:formatCode>
                  <c:ptCount val="3"/>
                  <c:pt idx="0">
                    <c:v>0.87</c:v>
                  </c:pt>
                  <c:pt idx="1">
                    <c:v>1</c:v>
                  </c:pt>
                  <c:pt idx="2">
                    <c:v>0.8</c:v>
                  </c:pt>
                </c:numCache>
              </c:numRef>
            </c:plus>
            <c:minus>
              <c:numRef>
                <c:f>'Supplement 1'!$D$14:$F$14</c:f>
                <c:numCache>
                  <c:formatCode>General</c:formatCode>
                  <c:ptCount val="3"/>
                  <c:pt idx="0">
                    <c:v>0.87</c:v>
                  </c:pt>
                  <c:pt idx="1">
                    <c:v>1</c:v>
                  </c:pt>
                  <c:pt idx="2">
                    <c:v>0.8</c:v>
                  </c:pt>
                </c:numCache>
              </c:numRef>
            </c:minus>
          </c:errBars>
          <c:cat>
            <c:strRef>
              <c:f>'Supplement 1'!$D$8:$F$8</c:f>
              <c:strCache>
                <c:ptCount val="3"/>
                <c:pt idx="0">
                  <c:v>positive</c:v>
                </c:pt>
                <c:pt idx="1">
                  <c:v>negative</c:v>
                </c:pt>
                <c:pt idx="2">
                  <c:v>unrelated</c:v>
                </c:pt>
              </c:strCache>
            </c:strRef>
          </c:cat>
          <c:val>
            <c:numRef>
              <c:f>'Supplement 1'!$D$11:$F$11</c:f>
              <c:numCache>
                <c:formatCode>General</c:formatCode>
                <c:ptCount val="3"/>
                <c:pt idx="0">
                  <c:v>3.5</c:v>
                </c:pt>
                <c:pt idx="1">
                  <c:v>4.3899999999999997</c:v>
                </c:pt>
                <c:pt idx="2">
                  <c:v>4.0999999999999996</c:v>
                </c:pt>
              </c:numCache>
            </c:numRef>
          </c:val>
        </c:ser>
        <c:dLbls>
          <c:showLegendKey val="0"/>
          <c:showVal val="0"/>
          <c:showCatName val="0"/>
          <c:showSerName val="0"/>
          <c:showPercent val="0"/>
          <c:showBubbleSize val="0"/>
        </c:dLbls>
        <c:gapWidth val="150"/>
        <c:axId val="156226304"/>
        <c:axId val="159629312"/>
      </c:barChart>
      <c:catAx>
        <c:axId val="156226304"/>
        <c:scaling>
          <c:orientation val="minMax"/>
        </c:scaling>
        <c:delete val="0"/>
        <c:axPos val="b"/>
        <c:majorTickMark val="out"/>
        <c:minorTickMark val="none"/>
        <c:tickLblPos val="nextTo"/>
        <c:crossAx val="159629312"/>
        <c:crosses val="autoZero"/>
        <c:auto val="1"/>
        <c:lblAlgn val="ctr"/>
        <c:lblOffset val="100"/>
        <c:noMultiLvlLbl val="0"/>
      </c:catAx>
      <c:valAx>
        <c:axId val="159629312"/>
        <c:scaling>
          <c:orientation val="minMax"/>
          <c:max val="7"/>
          <c:min val="1"/>
        </c:scaling>
        <c:delete val="0"/>
        <c:axPos val="l"/>
        <c:majorGridlines/>
        <c:numFmt formatCode="General" sourceLinked="1"/>
        <c:majorTickMark val="out"/>
        <c:minorTickMark val="none"/>
        <c:tickLblPos val="nextTo"/>
        <c:crossAx val="156226304"/>
        <c:crosses val="autoZero"/>
        <c:crossBetween val="between"/>
      </c:valAx>
    </c:plotArea>
    <c:legend>
      <c:legendPos val="r"/>
      <c:layout/>
      <c:overlay val="0"/>
    </c:legend>
    <c:plotVisOnly val="1"/>
    <c:dispBlanksAs val="gap"/>
    <c:showDLblsOverMax val="0"/>
  </c:chart>
  <c:txPr>
    <a:bodyPr/>
    <a:lstStyle/>
    <a:p>
      <a:pPr>
        <a:defRPr>
          <a:latin typeface="Arial" panose="020B0604020202020204" pitchFamily="34" charset="0"/>
          <a:cs typeface="Arial" panose="020B0604020202020204" pitchFamily="34" charset="0"/>
        </a:defRPr>
      </a:pPr>
      <a:endParaRPr lang="de-DE"/>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'Supplement 1 children'!$C$10</c:f>
              <c:strCache>
                <c:ptCount val="1"/>
                <c:pt idx="0">
                  <c:v>MD</c:v>
                </c:pt>
              </c:strCache>
            </c:strRef>
          </c:tx>
          <c:invertIfNegative val="0"/>
          <c:errBars>
            <c:errBarType val="both"/>
            <c:errValType val="cust"/>
            <c:noEndCap val="0"/>
            <c:plus>
              <c:numRef>
                <c:f>'Supplement 1 children'!$D$13:$H$13</c:f>
                <c:numCache>
                  <c:formatCode>General</c:formatCode>
                  <c:ptCount val="5"/>
                  <c:pt idx="0">
                    <c:v>1.74</c:v>
                  </c:pt>
                  <c:pt idx="1">
                    <c:v>1.8</c:v>
                  </c:pt>
                  <c:pt idx="2">
                    <c:v>1.82</c:v>
                  </c:pt>
                  <c:pt idx="3">
                    <c:v>1.94</c:v>
                  </c:pt>
                  <c:pt idx="4">
                    <c:v>2.0099999999999998</c:v>
                  </c:pt>
                </c:numCache>
              </c:numRef>
            </c:plus>
            <c:minus>
              <c:numRef>
                <c:f>'Supplement 1 children'!$D$13:$H$13</c:f>
                <c:numCache>
                  <c:formatCode>General</c:formatCode>
                  <c:ptCount val="5"/>
                  <c:pt idx="0">
                    <c:v>1.74</c:v>
                  </c:pt>
                  <c:pt idx="1">
                    <c:v>1.8</c:v>
                  </c:pt>
                  <c:pt idx="2">
                    <c:v>1.82</c:v>
                  </c:pt>
                  <c:pt idx="3">
                    <c:v>1.94</c:v>
                  </c:pt>
                  <c:pt idx="4">
                    <c:v>2.0099999999999998</c:v>
                  </c:pt>
                </c:numCache>
              </c:numRef>
            </c:minus>
          </c:errBars>
          <c:cat>
            <c:strRef>
              <c:f>'Supplement 1 children'!$D$9:$H$9</c:f>
              <c:strCache>
                <c:ptCount val="5"/>
                <c:pt idx="0">
                  <c:v>Time 1</c:v>
                </c:pt>
                <c:pt idx="1">
                  <c:v>Time 2</c:v>
                </c:pt>
                <c:pt idx="2">
                  <c:v>Time 3</c:v>
                </c:pt>
                <c:pt idx="3">
                  <c:v>Time 4</c:v>
                </c:pt>
                <c:pt idx="4">
                  <c:v>Time 5</c:v>
                </c:pt>
              </c:strCache>
            </c:strRef>
          </c:cat>
          <c:val>
            <c:numRef>
              <c:f>'Supplement 1 children'!$D$10:$H$10</c:f>
              <c:numCache>
                <c:formatCode>General</c:formatCode>
                <c:ptCount val="5"/>
                <c:pt idx="0">
                  <c:v>4.28</c:v>
                </c:pt>
                <c:pt idx="1">
                  <c:v>3.97</c:v>
                </c:pt>
                <c:pt idx="2">
                  <c:v>3.97</c:v>
                </c:pt>
                <c:pt idx="3">
                  <c:v>4.03</c:v>
                </c:pt>
                <c:pt idx="4">
                  <c:v>4.1900000000000004</c:v>
                </c:pt>
              </c:numCache>
            </c:numRef>
          </c:val>
        </c:ser>
        <c:ser>
          <c:idx val="1"/>
          <c:order val="1"/>
          <c:tx>
            <c:strRef>
              <c:f>'Supplement 1 children'!$C$11</c:f>
              <c:strCache>
                <c:ptCount val="1"/>
                <c:pt idx="0">
                  <c:v>HR</c:v>
                </c:pt>
              </c:strCache>
            </c:strRef>
          </c:tx>
          <c:invertIfNegative val="0"/>
          <c:errBars>
            <c:errBarType val="both"/>
            <c:errValType val="cust"/>
            <c:noEndCap val="0"/>
            <c:plus>
              <c:numRef>
                <c:f>'Supplement 1 children'!$D$14:$H$14</c:f>
                <c:numCache>
                  <c:formatCode>General</c:formatCode>
                  <c:ptCount val="5"/>
                  <c:pt idx="0">
                    <c:v>1.23</c:v>
                  </c:pt>
                  <c:pt idx="1">
                    <c:v>1.55</c:v>
                  </c:pt>
                  <c:pt idx="2">
                    <c:v>1.43</c:v>
                  </c:pt>
                  <c:pt idx="3">
                    <c:v>1.27</c:v>
                  </c:pt>
                  <c:pt idx="4">
                    <c:v>1.28</c:v>
                  </c:pt>
                </c:numCache>
              </c:numRef>
            </c:plus>
            <c:minus>
              <c:numRef>
                <c:f>'Supplement 1 children'!$D$14:$H$14</c:f>
                <c:numCache>
                  <c:formatCode>General</c:formatCode>
                  <c:ptCount val="5"/>
                  <c:pt idx="0">
                    <c:v>1.23</c:v>
                  </c:pt>
                  <c:pt idx="1">
                    <c:v>1.55</c:v>
                  </c:pt>
                  <c:pt idx="2">
                    <c:v>1.43</c:v>
                  </c:pt>
                  <c:pt idx="3">
                    <c:v>1.27</c:v>
                  </c:pt>
                  <c:pt idx="4">
                    <c:v>1.28</c:v>
                  </c:pt>
                </c:numCache>
              </c:numRef>
            </c:minus>
          </c:errBars>
          <c:cat>
            <c:strRef>
              <c:f>'Supplement 1 children'!$D$9:$H$9</c:f>
              <c:strCache>
                <c:ptCount val="5"/>
                <c:pt idx="0">
                  <c:v>Time 1</c:v>
                </c:pt>
                <c:pt idx="1">
                  <c:v>Time 2</c:v>
                </c:pt>
                <c:pt idx="2">
                  <c:v>Time 3</c:v>
                </c:pt>
                <c:pt idx="3">
                  <c:v>Time 4</c:v>
                </c:pt>
                <c:pt idx="4">
                  <c:v>Time 5</c:v>
                </c:pt>
              </c:strCache>
            </c:strRef>
          </c:cat>
          <c:val>
            <c:numRef>
              <c:f>'Supplement 1 children'!$D$11:$H$11</c:f>
              <c:numCache>
                <c:formatCode>General</c:formatCode>
                <c:ptCount val="5"/>
                <c:pt idx="0">
                  <c:v>7.25</c:v>
                </c:pt>
                <c:pt idx="1">
                  <c:v>5.9</c:v>
                </c:pt>
                <c:pt idx="2">
                  <c:v>6.08</c:v>
                </c:pt>
                <c:pt idx="3">
                  <c:v>7.56</c:v>
                </c:pt>
                <c:pt idx="4">
                  <c:v>7.81</c:v>
                </c:pt>
              </c:numCache>
            </c:numRef>
          </c:val>
        </c:ser>
        <c:ser>
          <c:idx val="2"/>
          <c:order val="2"/>
          <c:tx>
            <c:strRef>
              <c:f>'Supplement 1 children'!$C$12</c:f>
              <c:strCache>
                <c:ptCount val="1"/>
                <c:pt idx="0">
                  <c:v>LR</c:v>
                </c:pt>
              </c:strCache>
            </c:strRef>
          </c:tx>
          <c:invertIfNegative val="0"/>
          <c:errBars>
            <c:errBarType val="both"/>
            <c:errValType val="cust"/>
            <c:noEndCap val="0"/>
            <c:plus>
              <c:numRef>
                <c:f>'Supplement 1 children'!$D$15:$H$15</c:f>
                <c:numCache>
                  <c:formatCode>General</c:formatCode>
                  <c:ptCount val="5"/>
                  <c:pt idx="0">
                    <c:v>0.96</c:v>
                  </c:pt>
                  <c:pt idx="1">
                    <c:v>1.76</c:v>
                  </c:pt>
                  <c:pt idx="2">
                    <c:v>1.79</c:v>
                  </c:pt>
                  <c:pt idx="3">
                    <c:v>1.1499999999999999</c:v>
                  </c:pt>
                  <c:pt idx="4">
                    <c:v>1.04</c:v>
                  </c:pt>
                </c:numCache>
              </c:numRef>
            </c:plus>
            <c:minus>
              <c:numRef>
                <c:f>'Supplement 1 children'!$D$15:$H$15</c:f>
                <c:numCache>
                  <c:formatCode>General</c:formatCode>
                  <c:ptCount val="5"/>
                  <c:pt idx="0">
                    <c:v>0.96</c:v>
                  </c:pt>
                  <c:pt idx="1">
                    <c:v>1.76</c:v>
                  </c:pt>
                  <c:pt idx="2">
                    <c:v>1.79</c:v>
                  </c:pt>
                  <c:pt idx="3">
                    <c:v>1.1499999999999999</c:v>
                  </c:pt>
                  <c:pt idx="4">
                    <c:v>1.04</c:v>
                  </c:pt>
                </c:numCache>
              </c:numRef>
            </c:minus>
          </c:errBars>
          <c:cat>
            <c:strRef>
              <c:f>'Supplement 1 children'!$D$9:$H$9</c:f>
              <c:strCache>
                <c:ptCount val="5"/>
                <c:pt idx="0">
                  <c:v>Time 1</c:v>
                </c:pt>
                <c:pt idx="1">
                  <c:v>Time 2</c:v>
                </c:pt>
                <c:pt idx="2">
                  <c:v>Time 3</c:v>
                </c:pt>
                <c:pt idx="3">
                  <c:v>Time 4</c:v>
                </c:pt>
                <c:pt idx="4">
                  <c:v>Time 5</c:v>
                </c:pt>
              </c:strCache>
            </c:strRef>
          </c:cat>
          <c:val>
            <c:numRef>
              <c:f>'Supplement 1 children'!$D$12:$H$12</c:f>
              <c:numCache>
                <c:formatCode>General</c:formatCode>
                <c:ptCount val="5"/>
                <c:pt idx="0">
                  <c:v>7.6</c:v>
                </c:pt>
                <c:pt idx="1">
                  <c:v>5.79</c:v>
                </c:pt>
                <c:pt idx="2">
                  <c:v>5.9</c:v>
                </c:pt>
                <c:pt idx="3">
                  <c:v>7.6</c:v>
                </c:pt>
                <c:pt idx="4">
                  <c:v>7.88</c:v>
                </c:pt>
              </c:numCache>
            </c:numRef>
          </c:val>
        </c:ser>
        <c:dLbls>
          <c:showLegendKey val="0"/>
          <c:showVal val="0"/>
          <c:showCatName val="0"/>
          <c:showSerName val="0"/>
          <c:showPercent val="0"/>
          <c:showBubbleSize val="0"/>
        </c:dLbls>
        <c:gapWidth val="150"/>
        <c:axId val="167262848"/>
        <c:axId val="105492864"/>
      </c:barChart>
      <c:catAx>
        <c:axId val="167262848"/>
        <c:scaling>
          <c:orientation val="minMax"/>
        </c:scaling>
        <c:delete val="0"/>
        <c:axPos val="b"/>
        <c:majorTickMark val="out"/>
        <c:minorTickMark val="none"/>
        <c:tickLblPos val="nextTo"/>
        <c:crossAx val="105492864"/>
        <c:crosses val="autoZero"/>
        <c:auto val="1"/>
        <c:lblAlgn val="ctr"/>
        <c:lblOffset val="100"/>
        <c:noMultiLvlLbl val="0"/>
      </c:catAx>
      <c:valAx>
        <c:axId val="105492864"/>
        <c:scaling>
          <c:orientation val="minMax"/>
          <c:max val="9.5"/>
          <c:min val="1"/>
        </c:scaling>
        <c:delete val="0"/>
        <c:axPos val="l"/>
        <c:majorGridlines/>
        <c:numFmt formatCode="General" sourceLinked="1"/>
        <c:majorTickMark val="out"/>
        <c:minorTickMark val="none"/>
        <c:tickLblPos val="nextTo"/>
        <c:crossAx val="167262848"/>
        <c:crosses val="autoZero"/>
        <c:crossBetween val="between"/>
      </c:valAx>
    </c:plotArea>
    <c:legend>
      <c:legendPos val="r"/>
      <c:layout/>
      <c:overlay val="0"/>
    </c:legend>
    <c:plotVisOnly val="1"/>
    <c:dispBlanksAs val="gap"/>
    <c:showDLblsOverMax val="0"/>
  </c:chart>
  <c:txPr>
    <a:bodyPr/>
    <a:lstStyle/>
    <a:p>
      <a:pPr>
        <a:defRPr>
          <a:latin typeface="Arial" panose="020B0604020202020204" pitchFamily="34" charset="0"/>
          <a:cs typeface="Arial" panose="020B0604020202020204" pitchFamily="34" charset="0"/>
        </a:defRPr>
      </a:pPr>
      <a:endParaRPr lang="de-DE"/>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'KROKO_AST supplement'!$C$14</c:f>
              <c:strCache>
                <c:ptCount val="1"/>
                <c:pt idx="0">
                  <c:v>Negative Targets</c:v>
                </c:pt>
              </c:strCache>
            </c:strRef>
          </c:tx>
          <c:invertIfNegative val="0"/>
          <c:errBars>
            <c:errBarType val="both"/>
            <c:errValType val="cust"/>
            <c:noEndCap val="0"/>
            <c:plus>
              <c:numRef>
                <c:f>'KROKO_AST supplement'!$D$16:$F$16</c:f>
                <c:numCache>
                  <c:formatCode>General</c:formatCode>
                  <c:ptCount val="3"/>
                  <c:pt idx="0">
                    <c:v>0.62</c:v>
                  </c:pt>
                  <c:pt idx="1">
                    <c:v>0.46</c:v>
                  </c:pt>
                  <c:pt idx="2">
                    <c:v>0.38</c:v>
                  </c:pt>
                </c:numCache>
              </c:numRef>
            </c:plus>
            <c:minus>
              <c:numRef>
                <c:f>'KROKO_AST supplement'!$D$16:$F$16</c:f>
                <c:numCache>
                  <c:formatCode>General</c:formatCode>
                  <c:ptCount val="3"/>
                  <c:pt idx="0">
                    <c:v>0.62</c:v>
                  </c:pt>
                  <c:pt idx="1">
                    <c:v>0.46</c:v>
                  </c:pt>
                  <c:pt idx="2">
                    <c:v>0.38</c:v>
                  </c:pt>
                </c:numCache>
              </c:numRef>
            </c:minus>
          </c:errBars>
          <c:cat>
            <c:strRef>
              <c:f>'KROKO_AST supplement'!$D$13:$F$13</c:f>
              <c:strCache>
                <c:ptCount val="3"/>
                <c:pt idx="0">
                  <c:v>MD</c:v>
                </c:pt>
                <c:pt idx="1">
                  <c:v>HR</c:v>
                </c:pt>
                <c:pt idx="2">
                  <c:v>LR</c:v>
                </c:pt>
              </c:strCache>
            </c:strRef>
          </c:cat>
          <c:val>
            <c:numRef>
              <c:f>'KROKO_AST supplement'!$D$14:$F$14</c:f>
              <c:numCache>
                <c:formatCode>General</c:formatCode>
                <c:ptCount val="3"/>
                <c:pt idx="0">
                  <c:v>2.75</c:v>
                </c:pt>
                <c:pt idx="1">
                  <c:v>2.19</c:v>
                </c:pt>
                <c:pt idx="2">
                  <c:v>2.3199999999999998</c:v>
                </c:pt>
              </c:numCache>
            </c:numRef>
          </c:val>
        </c:ser>
        <c:ser>
          <c:idx val="1"/>
          <c:order val="1"/>
          <c:tx>
            <c:strRef>
              <c:f>'KROKO_AST supplement'!$C$15</c:f>
              <c:strCache>
                <c:ptCount val="1"/>
                <c:pt idx="0">
                  <c:v>Positive Targets</c:v>
                </c:pt>
              </c:strCache>
            </c:strRef>
          </c:tx>
          <c:invertIfNegative val="0"/>
          <c:errBars>
            <c:errBarType val="both"/>
            <c:errValType val="cust"/>
            <c:noEndCap val="0"/>
            <c:plus>
              <c:numRef>
                <c:f>'KROKO_AST supplement'!$D$17:$F$17</c:f>
                <c:numCache>
                  <c:formatCode>General</c:formatCode>
                  <c:ptCount val="3"/>
                  <c:pt idx="0">
                    <c:v>0.63</c:v>
                  </c:pt>
                  <c:pt idx="1">
                    <c:v>0.42</c:v>
                  </c:pt>
                  <c:pt idx="2">
                    <c:v>0.42</c:v>
                  </c:pt>
                </c:numCache>
              </c:numRef>
            </c:plus>
            <c:minus>
              <c:numRef>
                <c:f>'KROKO_AST supplement'!$D$17:$F$17</c:f>
                <c:numCache>
                  <c:formatCode>General</c:formatCode>
                  <c:ptCount val="3"/>
                  <c:pt idx="0">
                    <c:v>0.63</c:v>
                  </c:pt>
                  <c:pt idx="1">
                    <c:v>0.42</c:v>
                  </c:pt>
                  <c:pt idx="2">
                    <c:v>0.42</c:v>
                  </c:pt>
                </c:numCache>
              </c:numRef>
            </c:minus>
          </c:errBars>
          <c:cat>
            <c:strRef>
              <c:f>'KROKO_AST supplement'!$D$13:$F$13</c:f>
              <c:strCache>
                <c:ptCount val="3"/>
                <c:pt idx="0">
                  <c:v>MD</c:v>
                </c:pt>
                <c:pt idx="1">
                  <c:v>HR</c:v>
                </c:pt>
                <c:pt idx="2">
                  <c:v>LR</c:v>
                </c:pt>
              </c:strCache>
            </c:strRef>
          </c:cat>
          <c:val>
            <c:numRef>
              <c:f>'KROKO_AST supplement'!$D$15:$F$15</c:f>
              <c:numCache>
                <c:formatCode>General</c:formatCode>
                <c:ptCount val="3"/>
                <c:pt idx="0">
                  <c:v>2.36</c:v>
                </c:pt>
                <c:pt idx="1">
                  <c:v>2.62</c:v>
                </c:pt>
                <c:pt idx="2">
                  <c:v>2.57</c:v>
                </c:pt>
              </c:numCache>
            </c:numRef>
          </c:val>
        </c:ser>
        <c:dLbls>
          <c:showLegendKey val="0"/>
          <c:showVal val="0"/>
          <c:showCatName val="0"/>
          <c:showSerName val="0"/>
          <c:showPercent val="0"/>
          <c:showBubbleSize val="0"/>
        </c:dLbls>
        <c:gapWidth val="150"/>
        <c:axId val="160397568"/>
        <c:axId val="160407552"/>
      </c:barChart>
      <c:catAx>
        <c:axId val="160397568"/>
        <c:scaling>
          <c:orientation val="minMax"/>
        </c:scaling>
        <c:delete val="0"/>
        <c:axPos val="b"/>
        <c:majorTickMark val="out"/>
        <c:minorTickMark val="none"/>
        <c:tickLblPos val="low"/>
        <c:txPr>
          <a:bodyPr/>
          <a:lstStyle/>
          <a:p>
            <a:pPr>
              <a:defRPr>
                <a:latin typeface="Arial" panose="020B0604020202020204" pitchFamily="34" charset="0"/>
                <a:cs typeface="Arial" panose="020B0604020202020204" pitchFamily="34" charset="0"/>
              </a:defRPr>
            </a:pPr>
            <a:endParaRPr lang="de-DE"/>
          </a:p>
        </c:txPr>
        <c:crossAx val="160407552"/>
        <c:crossesAt val="0"/>
        <c:auto val="1"/>
        <c:lblAlgn val="ctr"/>
        <c:lblOffset val="100"/>
        <c:noMultiLvlLbl val="0"/>
      </c:catAx>
      <c:valAx>
        <c:axId val="160407552"/>
        <c:scaling>
          <c:orientation val="minMax"/>
          <c:max val="3.5"/>
          <c:min val="0"/>
        </c:scaling>
        <c:delete val="0"/>
        <c:axPos val="l"/>
        <c:majorGridlines/>
        <c:numFmt formatCode="General" sourceLinked="1"/>
        <c:majorTickMark val="out"/>
        <c:minorTickMark val="none"/>
        <c:tickLblPos val="nextTo"/>
        <c:txPr>
          <a:bodyPr/>
          <a:lstStyle/>
          <a:p>
            <a:pPr>
              <a:defRPr>
                <a:latin typeface="Arial" panose="020B0604020202020204" pitchFamily="34" charset="0"/>
                <a:cs typeface="Arial" panose="020B0604020202020204" pitchFamily="34" charset="0"/>
              </a:defRPr>
            </a:pPr>
            <a:endParaRPr lang="de-DE"/>
          </a:p>
        </c:txPr>
        <c:crossAx val="160397568"/>
        <c:crosses val="autoZero"/>
        <c:crossBetween val="between"/>
        <c:majorUnit val="1"/>
      </c:valAx>
    </c:plotArea>
    <c:legend>
      <c:legendPos val="r"/>
      <c:layout/>
      <c:overlay val="0"/>
      <c:txPr>
        <a:bodyPr/>
        <a:lstStyle/>
        <a:p>
          <a:pPr>
            <a:defRPr>
              <a:latin typeface="Arial" panose="020B0604020202020204" pitchFamily="34" charset="0"/>
              <a:cs typeface="Arial" panose="020B0604020202020204" pitchFamily="34" charset="0"/>
            </a:defRPr>
          </a:pPr>
          <a:endParaRPr lang="de-DE"/>
        </a:p>
      </c:txPr>
    </c:legend>
    <c:plotVisOnly val="1"/>
    <c:dispBlanksAs val="gap"/>
    <c:showDLblsOverMax val="0"/>
  </c:chart>
  <c:externalData r:id="rId1">
    <c:autoUpdate val="0"/>
  </c:externalData>
</c:chartSpace>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724359-945D-4260-B931-784FD03D5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1400</Words>
  <Characters>8827</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Klinikum der Universitaet Muenchen</Company>
  <LinksUpToDate>false</LinksUpToDate>
  <CharactersWithSpaces>10207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asfaerle</dc:creator>
  <cp:lastModifiedBy>Anca Sfärlea</cp:lastModifiedBy>
  <cp:revision>4</cp:revision>
  <dcterms:created xsi:type="dcterms:W3CDTF">2020-04-26T09:17:00Z</dcterms:created>
  <dcterms:modified xsi:type="dcterms:W3CDTF">2020-04-27T08:07:00Z</dcterms:modified>
</cp:coreProperties>
</file>