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21" w:rsidRDefault="00311B21" w:rsidP="00311B21">
      <w:pPr>
        <w:rPr>
          <w:i/>
        </w:rPr>
      </w:pPr>
    </w:p>
    <w:p w:rsidR="00311B21" w:rsidRDefault="00311B21" w:rsidP="00311B21"/>
    <w:p w:rsidR="00311B21" w:rsidRDefault="00311B21" w:rsidP="00311B21"/>
    <w:p w:rsidR="00311B21" w:rsidRDefault="00311B21" w:rsidP="00311B21">
      <w:pPr>
        <w:pStyle w:val="Caption"/>
        <w:keepNext/>
        <w:outlineLvl w:val="0"/>
        <w:rPr>
          <w:rFonts w:ascii="Times New Roman" w:hAnsi="Times New Roman" w:cs="Times New Roman"/>
          <w:b/>
          <w:i w:val="0"/>
          <w:color w:val="auto"/>
          <w:sz w:val="24"/>
        </w:rPr>
      </w:pPr>
      <w:r w:rsidRPr="00C4142A">
        <w:rPr>
          <w:rFonts w:ascii="Times New Roman" w:hAnsi="Times New Roman" w:cs="Times New Roman"/>
          <w:b/>
          <w:i w:val="0"/>
          <w:color w:val="auto"/>
          <w:sz w:val="24"/>
        </w:rPr>
        <w:t xml:space="preserve">Table </w:t>
      </w:r>
      <w:r>
        <w:rPr>
          <w:rFonts w:ascii="Times New Roman" w:hAnsi="Times New Roman" w:cs="Times New Roman"/>
          <w:b/>
          <w:i w:val="0"/>
          <w:color w:val="auto"/>
          <w:sz w:val="24"/>
        </w:rPr>
        <w:t>S6</w:t>
      </w:r>
    </w:p>
    <w:p w:rsidR="00311B21" w:rsidRPr="00C4142A" w:rsidRDefault="00311B21" w:rsidP="00311B21">
      <w:pPr>
        <w:outlineLvl w:val="0"/>
        <w:rPr>
          <w:i/>
        </w:rPr>
      </w:pPr>
      <w:r>
        <w:rPr>
          <w:i/>
        </w:rPr>
        <w:t>Association of Group on TAF Change from Normal to Crisis State</w:t>
      </w:r>
    </w:p>
    <w:tbl>
      <w:tblPr>
        <w:tblStyle w:val="TableGrid"/>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1640"/>
        <w:gridCol w:w="1714"/>
        <w:gridCol w:w="1677"/>
        <w:gridCol w:w="1677"/>
        <w:gridCol w:w="1530"/>
        <w:gridCol w:w="1486"/>
        <w:gridCol w:w="1134"/>
      </w:tblGrid>
      <w:tr w:rsidR="00311B21" w:rsidRPr="00C4142A" w:rsidTr="000E4241">
        <w:trPr>
          <w:trHeight w:val="510"/>
        </w:trPr>
        <w:tc>
          <w:tcPr>
            <w:tcW w:w="2892" w:type="dxa"/>
            <w:tcBorders>
              <w:top w:val="single" w:sz="4" w:space="0" w:color="auto"/>
            </w:tcBorders>
          </w:tcPr>
          <w:p w:rsidR="00311B21" w:rsidRPr="00C4142A" w:rsidRDefault="00311B21" w:rsidP="000E4241">
            <w:pPr>
              <w:spacing w:before="240"/>
            </w:pPr>
          </w:p>
        </w:tc>
        <w:tc>
          <w:tcPr>
            <w:tcW w:w="9724" w:type="dxa"/>
            <w:gridSpan w:val="6"/>
            <w:tcBorders>
              <w:top w:val="single" w:sz="4" w:space="0" w:color="auto"/>
              <w:bottom w:val="single" w:sz="4" w:space="0" w:color="auto"/>
            </w:tcBorders>
            <w:vAlign w:val="bottom"/>
          </w:tcPr>
          <w:p w:rsidR="00311B21" w:rsidRPr="00C4142A" w:rsidRDefault="00311B21" w:rsidP="000E4241">
            <w:pPr>
              <w:spacing w:before="240"/>
              <w:jc w:val="center"/>
            </w:pPr>
            <w:r w:rsidRPr="00C4142A">
              <w:t>Mean (SD)</w:t>
            </w:r>
          </w:p>
        </w:tc>
        <w:tc>
          <w:tcPr>
            <w:tcW w:w="1134" w:type="dxa"/>
            <w:tcBorders>
              <w:top w:val="single" w:sz="4" w:space="0" w:color="auto"/>
            </w:tcBorders>
            <w:vAlign w:val="bottom"/>
          </w:tcPr>
          <w:p w:rsidR="00311B21" w:rsidRPr="00C4142A" w:rsidRDefault="00311B21" w:rsidP="000E4241">
            <w:pPr>
              <w:spacing w:before="240"/>
              <w:jc w:val="center"/>
            </w:pPr>
          </w:p>
        </w:tc>
      </w:tr>
      <w:tr w:rsidR="00311B21" w:rsidRPr="00C4142A" w:rsidTr="000E4241">
        <w:trPr>
          <w:trHeight w:val="58"/>
        </w:trPr>
        <w:tc>
          <w:tcPr>
            <w:tcW w:w="2892" w:type="dxa"/>
          </w:tcPr>
          <w:p w:rsidR="00311B21" w:rsidRPr="00C4142A" w:rsidRDefault="00311B21" w:rsidP="000E4241">
            <w:pPr>
              <w:spacing w:before="240"/>
            </w:pPr>
          </w:p>
        </w:tc>
        <w:tc>
          <w:tcPr>
            <w:tcW w:w="5031" w:type="dxa"/>
            <w:gridSpan w:val="3"/>
            <w:tcBorders>
              <w:top w:val="single" w:sz="4" w:space="0" w:color="auto"/>
              <w:bottom w:val="single" w:sz="4" w:space="0" w:color="auto"/>
            </w:tcBorders>
            <w:vAlign w:val="bottom"/>
          </w:tcPr>
          <w:p w:rsidR="00311B21" w:rsidRPr="00C4142A" w:rsidRDefault="00311B21" w:rsidP="000E4241">
            <w:pPr>
              <w:spacing w:before="240"/>
              <w:jc w:val="center"/>
            </w:pPr>
            <w:r w:rsidRPr="00C4142A">
              <w:t>Depressed Non-Suicidal</w:t>
            </w:r>
          </w:p>
        </w:tc>
        <w:tc>
          <w:tcPr>
            <w:tcW w:w="4693" w:type="dxa"/>
            <w:gridSpan w:val="3"/>
            <w:tcBorders>
              <w:top w:val="single" w:sz="4" w:space="0" w:color="auto"/>
              <w:bottom w:val="single" w:sz="4" w:space="0" w:color="auto"/>
            </w:tcBorders>
            <w:vAlign w:val="bottom"/>
          </w:tcPr>
          <w:p w:rsidR="00311B21" w:rsidRPr="00C4142A" w:rsidRDefault="00311B21" w:rsidP="000E4241">
            <w:pPr>
              <w:spacing w:before="240"/>
              <w:jc w:val="center"/>
            </w:pPr>
            <w:r w:rsidRPr="00C4142A">
              <w:t>Depressed Suicidal</w:t>
            </w:r>
          </w:p>
        </w:tc>
        <w:tc>
          <w:tcPr>
            <w:tcW w:w="1134" w:type="dxa"/>
            <w:vAlign w:val="bottom"/>
          </w:tcPr>
          <w:p w:rsidR="00311B21" w:rsidRPr="00C4142A" w:rsidRDefault="00311B21" w:rsidP="000E4241">
            <w:pPr>
              <w:spacing w:before="240"/>
              <w:jc w:val="center"/>
            </w:pPr>
          </w:p>
        </w:tc>
      </w:tr>
      <w:tr w:rsidR="00311B21" w:rsidRPr="00C4142A" w:rsidTr="000E4241">
        <w:trPr>
          <w:trHeight w:val="498"/>
        </w:trPr>
        <w:tc>
          <w:tcPr>
            <w:tcW w:w="2892" w:type="dxa"/>
            <w:tcBorders>
              <w:bottom w:val="single" w:sz="4" w:space="0" w:color="auto"/>
            </w:tcBorders>
          </w:tcPr>
          <w:p w:rsidR="00311B21" w:rsidRPr="00C4142A" w:rsidRDefault="00311B21" w:rsidP="000E4241">
            <w:pPr>
              <w:spacing w:before="240"/>
            </w:pPr>
            <w:r w:rsidRPr="00C4142A">
              <w:t>TAF Scale</w:t>
            </w:r>
          </w:p>
        </w:tc>
        <w:tc>
          <w:tcPr>
            <w:tcW w:w="1640" w:type="dxa"/>
            <w:tcBorders>
              <w:top w:val="single" w:sz="4" w:space="0" w:color="auto"/>
              <w:bottom w:val="single" w:sz="4" w:space="0" w:color="auto"/>
            </w:tcBorders>
            <w:vAlign w:val="bottom"/>
          </w:tcPr>
          <w:p w:rsidR="00311B21" w:rsidRPr="00C4142A" w:rsidRDefault="00311B21" w:rsidP="000E4241">
            <w:pPr>
              <w:spacing w:before="240"/>
              <w:jc w:val="center"/>
            </w:pPr>
            <w:r w:rsidRPr="00C4142A">
              <w:t>Normal</w:t>
            </w:r>
          </w:p>
        </w:tc>
        <w:tc>
          <w:tcPr>
            <w:tcW w:w="1714" w:type="dxa"/>
            <w:tcBorders>
              <w:top w:val="single" w:sz="4" w:space="0" w:color="auto"/>
              <w:bottom w:val="single" w:sz="4" w:space="0" w:color="auto"/>
            </w:tcBorders>
            <w:vAlign w:val="bottom"/>
          </w:tcPr>
          <w:p w:rsidR="00311B21" w:rsidRPr="00C4142A" w:rsidRDefault="00311B21" w:rsidP="000E4241">
            <w:pPr>
              <w:spacing w:before="240"/>
              <w:jc w:val="center"/>
            </w:pPr>
            <w:r w:rsidRPr="00C4142A">
              <w:t>Crisis</w:t>
            </w:r>
          </w:p>
        </w:tc>
        <w:tc>
          <w:tcPr>
            <w:tcW w:w="1677" w:type="dxa"/>
            <w:tcBorders>
              <w:top w:val="single" w:sz="4" w:space="0" w:color="auto"/>
              <w:bottom w:val="single" w:sz="4" w:space="0" w:color="auto"/>
            </w:tcBorders>
          </w:tcPr>
          <w:p w:rsidR="00311B21" w:rsidRPr="00C4142A" w:rsidRDefault="00311B21" w:rsidP="000E4241">
            <w:pPr>
              <w:spacing w:before="240"/>
              <w:jc w:val="center"/>
            </w:pPr>
            <w:r>
              <w:t>Change</w:t>
            </w:r>
            <w:bookmarkStart w:id="0" w:name="_Hlk490743063"/>
            <w:r>
              <w:t>‡</w:t>
            </w:r>
            <w:bookmarkEnd w:id="0"/>
          </w:p>
        </w:tc>
        <w:tc>
          <w:tcPr>
            <w:tcW w:w="1677" w:type="dxa"/>
            <w:tcBorders>
              <w:top w:val="single" w:sz="4" w:space="0" w:color="auto"/>
              <w:bottom w:val="single" w:sz="4" w:space="0" w:color="auto"/>
            </w:tcBorders>
            <w:vAlign w:val="bottom"/>
          </w:tcPr>
          <w:p w:rsidR="00311B21" w:rsidRPr="00C4142A" w:rsidRDefault="00311B21" w:rsidP="000E4241">
            <w:pPr>
              <w:spacing w:before="240"/>
              <w:jc w:val="center"/>
            </w:pPr>
            <w:r w:rsidRPr="00C4142A">
              <w:t>Normal</w:t>
            </w:r>
          </w:p>
        </w:tc>
        <w:tc>
          <w:tcPr>
            <w:tcW w:w="1530" w:type="dxa"/>
            <w:tcBorders>
              <w:top w:val="single" w:sz="4" w:space="0" w:color="auto"/>
              <w:bottom w:val="single" w:sz="4" w:space="0" w:color="auto"/>
            </w:tcBorders>
            <w:vAlign w:val="bottom"/>
          </w:tcPr>
          <w:p w:rsidR="00311B21" w:rsidRPr="00C4142A" w:rsidRDefault="00311B21" w:rsidP="000E4241">
            <w:pPr>
              <w:spacing w:before="240"/>
              <w:jc w:val="center"/>
            </w:pPr>
            <w:r w:rsidRPr="00C4142A">
              <w:t>Crisis</w:t>
            </w:r>
          </w:p>
        </w:tc>
        <w:tc>
          <w:tcPr>
            <w:tcW w:w="1486" w:type="dxa"/>
            <w:tcBorders>
              <w:top w:val="single" w:sz="4" w:space="0" w:color="auto"/>
              <w:bottom w:val="single" w:sz="4" w:space="0" w:color="auto"/>
            </w:tcBorders>
          </w:tcPr>
          <w:p w:rsidR="00311B21" w:rsidRPr="00C4142A" w:rsidRDefault="00311B21" w:rsidP="000E4241">
            <w:pPr>
              <w:spacing w:before="240"/>
              <w:jc w:val="center"/>
            </w:pPr>
            <w:r>
              <w:t>Change‡</w:t>
            </w:r>
          </w:p>
        </w:tc>
        <w:tc>
          <w:tcPr>
            <w:tcW w:w="1134" w:type="dxa"/>
            <w:tcBorders>
              <w:bottom w:val="single" w:sz="4" w:space="0" w:color="auto"/>
            </w:tcBorders>
            <w:vAlign w:val="bottom"/>
          </w:tcPr>
          <w:p w:rsidR="00311B21" w:rsidRPr="00C4142A" w:rsidRDefault="00311B21" w:rsidP="000E4241">
            <w:pPr>
              <w:spacing w:before="240"/>
              <w:jc w:val="center"/>
            </w:pPr>
            <w:r w:rsidRPr="00C4142A">
              <w:t>P-Value</w:t>
            </w:r>
            <w:r>
              <w:t>†</w:t>
            </w:r>
          </w:p>
        </w:tc>
      </w:tr>
      <w:tr w:rsidR="00311B21" w:rsidRPr="00C4142A" w:rsidTr="000E4241">
        <w:trPr>
          <w:trHeight w:val="58"/>
        </w:trPr>
        <w:tc>
          <w:tcPr>
            <w:tcW w:w="2892" w:type="dxa"/>
            <w:tcBorders>
              <w:top w:val="single" w:sz="4" w:space="0" w:color="auto"/>
            </w:tcBorders>
          </w:tcPr>
          <w:p w:rsidR="00311B21" w:rsidRPr="00C4142A" w:rsidRDefault="00311B21" w:rsidP="000E4241">
            <w:pPr>
              <w:spacing w:before="240"/>
            </w:pPr>
            <w:r w:rsidRPr="00C4142A">
              <w:t>Total</w:t>
            </w:r>
          </w:p>
        </w:tc>
        <w:tc>
          <w:tcPr>
            <w:tcW w:w="1640" w:type="dxa"/>
            <w:tcBorders>
              <w:top w:val="single" w:sz="4" w:space="0" w:color="auto"/>
            </w:tcBorders>
          </w:tcPr>
          <w:p w:rsidR="00311B21" w:rsidRDefault="00311B21" w:rsidP="000E4241">
            <w:pPr>
              <w:spacing w:before="240"/>
              <w:jc w:val="center"/>
            </w:pPr>
            <w:r>
              <w:t>51.99 (15.65)</w:t>
            </w:r>
          </w:p>
        </w:tc>
        <w:tc>
          <w:tcPr>
            <w:tcW w:w="1714" w:type="dxa"/>
            <w:tcBorders>
              <w:top w:val="single" w:sz="4" w:space="0" w:color="auto"/>
            </w:tcBorders>
          </w:tcPr>
          <w:p w:rsidR="00311B21" w:rsidRDefault="00311B21" w:rsidP="000E4241">
            <w:pPr>
              <w:spacing w:before="240"/>
              <w:jc w:val="center"/>
            </w:pPr>
            <w:r>
              <w:t>53.57 (11.95)</w:t>
            </w:r>
          </w:p>
        </w:tc>
        <w:tc>
          <w:tcPr>
            <w:tcW w:w="1677" w:type="dxa"/>
            <w:tcBorders>
              <w:top w:val="single" w:sz="4" w:space="0" w:color="auto"/>
            </w:tcBorders>
          </w:tcPr>
          <w:p w:rsidR="00311B21" w:rsidRDefault="00311B21" w:rsidP="000E4241">
            <w:pPr>
              <w:spacing w:before="240"/>
              <w:jc w:val="center"/>
            </w:pPr>
            <w:r>
              <w:t>1.57 (13.49)</w:t>
            </w:r>
          </w:p>
        </w:tc>
        <w:tc>
          <w:tcPr>
            <w:tcW w:w="1677" w:type="dxa"/>
            <w:tcBorders>
              <w:top w:val="single" w:sz="4" w:space="0" w:color="auto"/>
            </w:tcBorders>
          </w:tcPr>
          <w:p w:rsidR="00311B21" w:rsidRDefault="00311B21" w:rsidP="000E4241">
            <w:pPr>
              <w:spacing w:before="240"/>
              <w:jc w:val="center"/>
            </w:pPr>
            <w:r>
              <w:t>38.48 (13.25)</w:t>
            </w:r>
          </w:p>
        </w:tc>
        <w:tc>
          <w:tcPr>
            <w:tcW w:w="1530" w:type="dxa"/>
            <w:tcBorders>
              <w:top w:val="single" w:sz="4" w:space="0" w:color="auto"/>
            </w:tcBorders>
          </w:tcPr>
          <w:p w:rsidR="00311B21" w:rsidRDefault="00311B21" w:rsidP="000E4241">
            <w:pPr>
              <w:spacing w:before="240"/>
              <w:jc w:val="center"/>
            </w:pPr>
            <w:r>
              <w:t>41.05 (11.96)</w:t>
            </w:r>
          </w:p>
        </w:tc>
        <w:tc>
          <w:tcPr>
            <w:tcW w:w="1486" w:type="dxa"/>
            <w:tcBorders>
              <w:top w:val="single" w:sz="4" w:space="0" w:color="auto"/>
            </w:tcBorders>
          </w:tcPr>
          <w:p w:rsidR="00311B21" w:rsidRDefault="00311B21" w:rsidP="000E4241">
            <w:pPr>
              <w:spacing w:before="240"/>
              <w:jc w:val="center"/>
            </w:pPr>
            <w:r>
              <w:t>2.57 (10.14)</w:t>
            </w:r>
          </w:p>
        </w:tc>
        <w:tc>
          <w:tcPr>
            <w:tcW w:w="1134" w:type="dxa"/>
            <w:tcBorders>
              <w:top w:val="single" w:sz="4" w:space="0" w:color="auto"/>
            </w:tcBorders>
          </w:tcPr>
          <w:p w:rsidR="00311B21" w:rsidRPr="00C4142A" w:rsidRDefault="00311B21" w:rsidP="000E4241">
            <w:pPr>
              <w:spacing w:before="240"/>
              <w:jc w:val="center"/>
            </w:pPr>
            <w:r>
              <w:t>0.042</w:t>
            </w:r>
          </w:p>
        </w:tc>
      </w:tr>
      <w:tr w:rsidR="00311B21" w:rsidRPr="00C4142A" w:rsidTr="000E4241">
        <w:trPr>
          <w:trHeight w:val="89"/>
        </w:trPr>
        <w:tc>
          <w:tcPr>
            <w:tcW w:w="2892" w:type="dxa"/>
          </w:tcPr>
          <w:p w:rsidR="00311B21" w:rsidRPr="00C4142A" w:rsidRDefault="00311B21" w:rsidP="000E4241">
            <w:pPr>
              <w:spacing w:before="240"/>
            </w:pPr>
            <w:r w:rsidRPr="00C4142A">
              <w:t>Uncontrollable</w:t>
            </w:r>
          </w:p>
        </w:tc>
        <w:tc>
          <w:tcPr>
            <w:tcW w:w="1640" w:type="dxa"/>
          </w:tcPr>
          <w:p w:rsidR="00311B21" w:rsidRDefault="00311B21" w:rsidP="000E4241">
            <w:pPr>
              <w:spacing w:before="240"/>
              <w:jc w:val="center"/>
            </w:pPr>
            <w:r>
              <w:t>34.78 (12.63)</w:t>
            </w:r>
          </w:p>
        </w:tc>
        <w:tc>
          <w:tcPr>
            <w:tcW w:w="1714" w:type="dxa"/>
          </w:tcPr>
          <w:p w:rsidR="00311B21" w:rsidRDefault="00311B21" w:rsidP="000E4241">
            <w:pPr>
              <w:spacing w:before="240"/>
              <w:jc w:val="center"/>
            </w:pPr>
            <w:r>
              <w:t>36.70 (9.91)</w:t>
            </w:r>
          </w:p>
        </w:tc>
        <w:tc>
          <w:tcPr>
            <w:tcW w:w="1677" w:type="dxa"/>
          </w:tcPr>
          <w:p w:rsidR="00311B21" w:rsidRDefault="00311B21" w:rsidP="000E4241">
            <w:pPr>
              <w:spacing w:before="240"/>
              <w:jc w:val="center"/>
            </w:pPr>
            <w:r>
              <w:t>1.93 (9.87)</w:t>
            </w:r>
          </w:p>
        </w:tc>
        <w:tc>
          <w:tcPr>
            <w:tcW w:w="1677" w:type="dxa"/>
          </w:tcPr>
          <w:p w:rsidR="00311B21" w:rsidRDefault="00311B21" w:rsidP="000E4241">
            <w:pPr>
              <w:spacing w:before="240"/>
              <w:jc w:val="center"/>
            </w:pPr>
            <w:r>
              <w:t>21.24 (10.96)</w:t>
            </w:r>
          </w:p>
        </w:tc>
        <w:tc>
          <w:tcPr>
            <w:tcW w:w="1530" w:type="dxa"/>
          </w:tcPr>
          <w:p w:rsidR="00311B21" w:rsidRDefault="00311B21" w:rsidP="000E4241">
            <w:pPr>
              <w:spacing w:before="240"/>
              <w:jc w:val="center"/>
            </w:pPr>
            <w:r>
              <w:t>24.01 (10.89)</w:t>
            </w:r>
          </w:p>
        </w:tc>
        <w:tc>
          <w:tcPr>
            <w:tcW w:w="1486" w:type="dxa"/>
          </w:tcPr>
          <w:p w:rsidR="00311B21" w:rsidRDefault="00311B21" w:rsidP="000E4241">
            <w:pPr>
              <w:spacing w:before="240"/>
              <w:jc w:val="center"/>
            </w:pPr>
            <w:r>
              <w:t>2.77 (7.66)</w:t>
            </w:r>
          </w:p>
        </w:tc>
        <w:tc>
          <w:tcPr>
            <w:tcW w:w="1134" w:type="dxa"/>
          </w:tcPr>
          <w:p w:rsidR="00311B21" w:rsidRPr="00C4142A" w:rsidRDefault="00311B21" w:rsidP="000E4241">
            <w:pPr>
              <w:spacing w:before="240"/>
              <w:jc w:val="center"/>
            </w:pPr>
            <w:r>
              <w:t>0.010</w:t>
            </w:r>
          </w:p>
        </w:tc>
      </w:tr>
      <w:tr w:rsidR="00311B21" w:rsidRPr="00C4142A" w:rsidTr="000E4241">
        <w:trPr>
          <w:trHeight w:val="510"/>
        </w:trPr>
        <w:tc>
          <w:tcPr>
            <w:tcW w:w="2892" w:type="dxa"/>
          </w:tcPr>
          <w:p w:rsidR="00311B21" w:rsidRPr="00C4142A" w:rsidRDefault="00311B21" w:rsidP="000E4241">
            <w:pPr>
              <w:spacing w:before="240"/>
            </w:pPr>
            <w:r w:rsidRPr="00C4142A">
              <w:t>Self-Suicidal</w:t>
            </w:r>
          </w:p>
        </w:tc>
        <w:tc>
          <w:tcPr>
            <w:tcW w:w="1640" w:type="dxa"/>
          </w:tcPr>
          <w:p w:rsidR="00311B21" w:rsidRDefault="00311B21" w:rsidP="000E4241">
            <w:pPr>
              <w:spacing w:before="240"/>
              <w:jc w:val="center"/>
            </w:pPr>
            <w:r>
              <w:t>7.77 (2.98)</w:t>
            </w:r>
          </w:p>
        </w:tc>
        <w:tc>
          <w:tcPr>
            <w:tcW w:w="1714" w:type="dxa"/>
          </w:tcPr>
          <w:p w:rsidR="00311B21" w:rsidRDefault="00311B21" w:rsidP="000E4241">
            <w:pPr>
              <w:spacing w:before="240"/>
              <w:jc w:val="center"/>
            </w:pPr>
            <w:r>
              <w:t>8.07 (2.69)</w:t>
            </w:r>
          </w:p>
        </w:tc>
        <w:tc>
          <w:tcPr>
            <w:tcW w:w="1677" w:type="dxa"/>
          </w:tcPr>
          <w:p w:rsidR="00311B21" w:rsidRDefault="00311B21" w:rsidP="000E4241">
            <w:pPr>
              <w:spacing w:before="240"/>
              <w:jc w:val="center"/>
            </w:pPr>
            <w:r>
              <w:t>0.30 (3.45)</w:t>
            </w:r>
          </w:p>
        </w:tc>
        <w:tc>
          <w:tcPr>
            <w:tcW w:w="1677" w:type="dxa"/>
          </w:tcPr>
          <w:p w:rsidR="00311B21" w:rsidRDefault="00311B21" w:rsidP="000E4241">
            <w:pPr>
              <w:spacing w:before="240"/>
              <w:jc w:val="center"/>
            </w:pPr>
            <w:r>
              <w:t>7.23 (3.45)</w:t>
            </w:r>
          </w:p>
        </w:tc>
        <w:tc>
          <w:tcPr>
            <w:tcW w:w="1530" w:type="dxa"/>
          </w:tcPr>
          <w:p w:rsidR="00311B21" w:rsidRDefault="00311B21" w:rsidP="000E4241">
            <w:pPr>
              <w:spacing w:before="240"/>
              <w:jc w:val="center"/>
            </w:pPr>
            <w:r>
              <w:t>9.60 (3.41)</w:t>
            </w:r>
          </w:p>
        </w:tc>
        <w:tc>
          <w:tcPr>
            <w:tcW w:w="1486" w:type="dxa"/>
          </w:tcPr>
          <w:p w:rsidR="00311B21" w:rsidRDefault="00311B21" w:rsidP="000E4241">
            <w:pPr>
              <w:spacing w:before="240"/>
              <w:jc w:val="center"/>
            </w:pPr>
            <w:r>
              <w:t>2.37 (3.39)</w:t>
            </w:r>
          </w:p>
        </w:tc>
        <w:tc>
          <w:tcPr>
            <w:tcW w:w="1134" w:type="dxa"/>
          </w:tcPr>
          <w:p w:rsidR="00311B21" w:rsidRPr="00C4142A" w:rsidRDefault="00311B21" w:rsidP="000E4241">
            <w:pPr>
              <w:spacing w:before="240"/>
              <w:jc w:val="center"/>
            </w:pPr>
            <w:r>
              <w:t>0.028</w:t>
            </w:r>
          </w:p>
        </w:tc>
      </w:tr>
      <w:tr w:rsidR="00311B21" w:rsidRPr="00C4142A" w:rsidTr="000E4241">
        <w:trPr>
          <w:trHeight w:val="68"/>
        </w:trPr>
        <w:tc>
          <w:tcPr>
            <w:tcW w:w="2892" w:type="dxa"/>
            <w:tcBorders>
              <w:bottom w:val="single" w:sz="4" w:space="0" w:color="auto"/>
            </w:tcBorders>
          </w:tcPr>
          <w:p w:rsidR="00311B21" w:rsidRPr="00C4142A" w:rsidRDefault="00311B21" w:rsidP="000E4241">
            <w:pPr>
              <w:spacing w:before="240"/>
            </w:pPr>
            <w:r w:rsidRPr="00C4142A">
              <w:t>Positive Controllable</w:t>
            </w:r>
          </w:p>
        </w:tc>
        <w:tc>
          <w:tcPr>
            <w:tcW w:w="1640" w:type="dxa"/>
            <w:tcBorders>
              <w:bottom w:val="single" w:sz="4" w:space="0" w:color="auto"/>
            </w:tcBorders>
          </w:tcPr>
          <w:p w:rsidR="00311B21" w:rsidRDefault="00311B21" w:rsidP="000E4241">
            <w:pPr>
              <w:spacing w:before="240"/>
              <w:jc w:val="center"/>
            </w:pPr>
            <w:r>
              <w:t>9.45 (2.11)</w:t>
            </w:r>
          </w:p>
        </w:tc>
        <w:tc>
          <w:tcPr>
            <w:tcW w:w="1714" w:type="dxa"/>
            <w:tcBorders>
              <w:bottom w:val="single" w:sz="4" w:space="0" w:color="auto"/>
            </w:tcBorders>
          </w:tcPr>
          <w:p w:rsidR="00311B21" w:rsidRDefault="00311B21" w:rsidP="000E4241">
            <w:pPr>
              <w:spacing w:before="240"/>
              <w:jc w:val="center"/>
            </w:pPr>
            <w:r>
              <w:t>8.80 (1.90)</w:t>
            </w:r>
          </w:p>
        </w:tc>
        <w:tc>
          <w:tcPr>
            <w:tcW w:w="1677" w:type="dxa"/>
            <w:tcBorders>
              <w:bottom w:val="single" w:sz="4" w:space="0" w:color="auto"/>
            </w:tcBorders>
          </w:tcPr>
          <w:p w:rsidR="00311B21" w:rsidRDefault="00311B21" w:rsidP="000E4241">
            <w:pPr>
              <w:spacing w:before="240"/>
              <w:jc w:val="center"/>
            </w:pPr>
            <w:r>
              <w:t>-0.65 (2.86)</w:t>
            </w:r>
          </w:p>
        </w:tc>
        <w:tc>
          <w:tcPr>
            <w:tcW w:w="1677" w:type="dxa"/>
            <w:tcBorders>
              <w:bottom w:val="single" w:sz="4" w:space="0" w:color="auto"/>
            </w:tcBorders>
          </w:tcPr>
          <w:p w:rsidR="00311B21" w:rsidRDefault="00311B21" w:rsidP="000E4241">
            <w:pPr>
              <w:spacing w:before="240"/>
              <w:jc w:val="center"/>
            </w:pPr>
            <w:r>
              <w:t>10.02 (2.93)</w:t>
            </w:r>
          </w:p>
        </w:tc>
        <w:tc>
          <w:tcPr>
            <w:tcW w:w="1530" w:type="dxa"/>
            <w:tcBorders>
              <w:bottom w:val="single" w:sz="4" w:space="0" w:color="auto"/>
            </w:tcBorders>
          </w:tcPr>
          <w:p w:rsidR="00311B21" w:rsidRDefault="00311B21" w:rsidP="000E4241">
            <w:pPr>
              <w:spacing w:before="240"/>
              <w:jc w:val="center"/>
            </w:pPr>
            <w:r>
              <w:t>7.44 (2.79)</w:t>
            </w:r>
          </w:p>
        </w:tc>
        <w:tc>
          <w:tcPr>
            <w:tcW w:w="1486" w:type="dxa"/>
            <w:tcBorders>
              <w:bottom w:val="single" w:sz="4" w:space="0" w:color="auto"/>
            </w:tcBorders>
          </w:tcPr>
          <w:p w:rsidR="00311B21" w:rsidRDefault="00311B21" w:rsidP="000E4241">
            <w:pPr>
              <w:spacing w:before="240"/>
              <w:jc w:val="center"/>
            </w:pPr>
            <w:r>
              <w:t>-2.58 (3.43)</w:t>
            </w:r>
          </w:p>
        </w:tc>
        <w:tc>
          <w:tcPr>
            <w:tcW w:w="1134" w:type="dxa"/>
            <w:tcBorders>
              <w:bottom w:val="single" w:sz="4" w:space="0" w:color="auto"/>
            </w:tcBorders>
          </w:tcPr>
          <w:p w:rsidR="00311B21" w:rsidRPr="00C4142A" w:rsidRDefault="00311B21" w:rsidP="000E4241">
            <w:pPr>
              <w:spacing w:before="240"/>
              <w:jc w:val="center"/>
            </w:pPr>
            <w:r>
              <w:t>0.012</w:t>
            </w:r>
          </w:p>
        </w:tc>
      </w:tr>
    </w:tbl>
    <w:p w:rsidR="00311B21" w:rsidRPr="00755E0D" w:rsidRDefault="00311B21" w:rsidP="00311B21">
      <w:pPr>
        <w:pStyle w:val="Caption"/>
        <w:rPr>
          <w:rFonts w:ascii="Times New Roman" w:hAnsi="Times New Roman" w:cs="Times New Roman"/>
          <w:i w:val="0"/>
          <w:color w:val="auto"/>
        </w:rPr>
      </w:pPr>
      <w:r>
        <w:rPr>
          <w:rFonts w:ascii="Times New Roman" w:hAnsi="Times New Roman" w:cs="Times New Roman"/>
          <w:color w:val="auto"/>
        </w:rPr>
        <w:t>Note</w:t>
      </w:r>
      <w:r>
        <w:rPr>
          <w:rFonts w:ascii="Times New Roman" w:hAnsi="Times New Roman" w:cs="Times New Roman"/>
          <w:i w:val="0"/>
          <w:color w:val="auto"/>
        </w:rPr>
        <w:t xml:space="preserve">: As done in Table S5, we again performed further exploratory analyses to see the change in TAF specificity towards self-suicidal when compared to uncontrollable content from normal to crisis states. Results demonstrated significant increases in self-suicidal TAF specificity in the D-S group when compared to the D-NS group (see our analysis code and results). This suggests that the specificity towards self-relevant, suicidal content in individuals with history of suicidal depression might further increase in states of crisis. † P-values are based on permutation-based linear regression analysis of the respective TAF crisis scale with predictors being group, respective normal state TAF, and their interaction. Thus, this can be interpreted as one group changing significantly more or less from normal to crisis state as is visible when looking at change columns. </w:t>
      </w:r>
      <w:r w:rsidRPr="00FF5C9B">
        <w:rPr>
          <w:rFonts w:ascii="Times New Roman" w:hAnsi="Times New Roman" w:cs="Times New Roman"/>
          <w:i w:val="0"/>
          <w:color w:val="auto"/>
        </w:rPr>
        <w:t>‡</w:t>
      </w:r>
      <w:r>
        <w:rPr>
          <w:rFonts w:ascii="Times New Roman" w:hAnsi="Times New Roman" w:cs="Times New Roman"/>
          <w:i w:val="0"/>
          <w:color w:val="auto"/>
        </w:rPr>
        <w:t xml:space="preserve"> The change score describes the difference between respective TAF scores from normal to crisis states. * TAF: Self-Suicidal Specificity was computed for an additional, exploratory analysis.</w:t>
      </w:r>
    </w:p>
    <w:p w:rsidR="0074714F" w:rsidRDefault="00311B21">
      <w:bookmarkStart w:id="1" w:name="_GoBack"/>
      <w:bookmarkEnd w:id="1"/>
    </w:p>
    <w:sectPr w:rsidR="0074714F" w:rsidSect="00311B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21"/>
    <w:rsid w:val="00311B21"/>
    <w:rsid w:val="005D6742"/>
    <w:rsid w:val="00EE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2ED6B-1588-45F7-B6A9-47C05857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311B21"/>
    <w:pPr>
      <w:spacing w:after="200"/>
    </w:pPr>
    <w:rPr>
      <w:rFonts w:asciiTheme="minorHAnsi" w:hAnsiTheme="minorHAnsi" w:cstheme="minorBidi"/>
      <w:i/>
      <w:iCs/>
      <w:color w:val="44546A" w:themeColor="text2"/>
      <w:sz w:val="18"/>
      <w:szCs w:val="18"/>
      <w:lang w:eastAsia="en-US"/>
    </w:rPr>
  </w:style>
  <w:style w:type="character" w:customStyle="1" w:styleId="CaptionChar">
    <w:name w:val="Caption Char"/>
    <w:basedOn w:val="DefaultParagraphFont"/>
    <w:link w:val="Caption"/>
    <w:uiPriority w:val="35"/>
    <w:rsid w:val="00311B21"/>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Bergljot Gjelsvik</dc:creator>
  <cp:keywords/>
  <dc:description/>
  <cp:lastModifiedBy>Bergljot Gjelsvik</cp:lastModifiedBy>
  <cp:revision>1</cp:revision>
  <dcterms:created xsi:type="dcterms:W3CDTF">2017-12-18T12:27:00Z</dcterms:created>
  <dcterms:modified xsi:type="dcterms:W3CDTF">2017-12-18T12:28:00Z</dcterms:modified>
</cp:coreProperties>
</file>