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060F6" w14:textId="77777777" w:rsidR="00E45109" w:rsidRDefault="00E45109" w:rsidP="00E45109">
      <w:pPr>
        <w:pStyle w:val="Heading2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b/>
          <w:color w:val="auto"/>
          <w:sz w:val="20"/>
          <w:szCs w:val="20"/>
          <w:lang w:val="en-US"/>
        </w:rPr>
        <w:t>Supplementary material</w:t>
      </w:r>
    </w:p>
    <w:tbl>
      <w:tblPr>
        <w:tblW w:w="12450" w:type="dxa"/>
        <w:tblLook w:val="04A0" w:firstRow="1" w:lastRow="0" w:firstColumn="1" w:lastColumn="0" w:noHBand="0" w:noVBand="1"/>
      </w:tblPr>
      <w:tblGrid>
        <w:gridCol w:w="3245"/>
        <w:gridCol w:w="1200"/>
        <w:gridCol w:w="1200"/>
        <w:gridCol w:w="1288"/>
        <w:gridCol w:w="1200"/>
        <w:gridCol w:w="1251"/>
        <w:gridCol w:w="1335"/>
        <w:gridCol w:w="1731"/>
      </w:tblGrid>
      <w:tr w:rsidR="00CC12F6" w:rsidRPr="00BD26EB" w14:paraId="29C132F1" w14:textId="77777777" w:rsidTr="00C27AAE">
        <w:trPr>
          <w:trHeight w:val="300"/>
        </w:trPr>
        <w:tc>
          <w:tcPr>
            <w:tcW w:w="10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E83E6" w14:textId="77777777" w:rsidR="00CC12F6" w:rsidRPr="00285A0E" w:rsidRDefault="00CC12F6" w:rsidP="00C27AA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148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Table S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  <w:r w:rsidRPr="0081148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.</w:t>
            </w:r>
            <w:r w:rsidRPr="0081148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Descriptive statistics of outcomes</w:t>
            </w:r>
            <w:r w:rsidRPr="00811482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36C8C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C12F6" w:rsidRPr="00BD26EB" w14:paraId="0D76BE18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C0750" w14:textId="77777777" w:rsidR="00CC12F6" w:rsidRPr="00285A0E" w:rsidRDefault="00CC12F6" w:rsidP="00C27AAE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1780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 groups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A5A696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F4BBCE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D5BCA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B3455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C12F6" w:rsidRPr="00BD26EB" w14:paraId="04F40745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762C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445D4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BA69F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80236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MDD+EXT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DA741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A3879E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EXT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96914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FA18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B402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</w:t>
            </w:r>
            <w:r w:rsidRPr="00BD26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+EXT</w:t>
            </w:r>
          </w:p>
        </w:tc>
      </w:tr>
      <w:tr w:rsidR="00CC12F6" w:rsidRPr="00BD26EB" w14:paraId="1F5F64AA" w14:textId="77777777" w:rsidTr="00C27AAE">
        <w:trPr>
          <w:trHeight w:val="300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78C07" w14:textId="77777777" w:rsidR="00CC12F6" w:rsidRPr="00285A0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Mental health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253B79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70DE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99CF59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65857A5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CB2551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0767B6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87BBB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C12F6" w:rsidRPr="00BD26EB" w14:paraId="3F4E2211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9A59C49" w14:textId="77777777" w:rsidR="00CC12F6" w:rsidRPr="00285A0E" w:rsidRDefault="00CC12F6" w:rsidP="00C27AA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95DC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31.66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FA38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11.34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70BAF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C1A8E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7902C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C5EF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13.38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3047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6.67</w:t>
            </w:r>
          </w:p>
        </w:tc>
      </w:tr>
      <w:tr w:rsidR="00CC12F6" w:rsidRPr="00BD26EB" w14:paraId="7BE874F3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37DB6CD" w14:textId="77777777" w:rsidR="00CC12F6" w:rsidRPr="00285A0E" w:rsidRDefault="00CC12F6" w:rsidP="00C27AA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DA9B0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A6376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36.97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692E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7DF36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34.40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F36F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30.60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B9FE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29.58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D15CF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25.93</w:t>
            </w:r>
          </w:p>
        </w:tc>
      </w:tr>
      <w:tr w:rsidR="00CC12F6" w:rsidRPr="00BD26EB" w14:paraId="08E7E0C0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FDB8CFC" w14:textId="77777777" w:rsidR="00CC12F6" w:rsidRPr="00285A0E" w:rsidRDefault="00CC12F6" w:rsidP="00C27AA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C590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FD48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39.92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7841D6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829AF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36.07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ECE1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40.16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6221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40.85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46103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41.48</w:t>
            </w:r>
          </w:p>
        </w:tc>
      </w:tr>
      <w:tr w:rsidR="00CC12F6" w:rsidRPr="00BD26EB" w14:paraId="63ECDFB2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A5DB06" w14:textId="77777777" w:rsidR="00CC12F6" w:rsidRPr="00285A0E" w:rsidRDefault="00CC12F6" w:rsidP="00C27AA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054A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BDACA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10.50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154EAD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23.12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780DC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9.05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B5575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13.66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E4B2D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14.79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ACF2D5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20.00</w:t>
            </w:r>
          </w:p>
        </w:tc>
      </w:tr>
      <w:tr w:rsidR="00CC12F6" w:rsidRPr="00BD26EB" w14:paraId="3EA90669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14E957F" w14:textId="77777777" w:rsidR="00CC12F6" w:rsidRPr="00285A0E" w:rsidRDefault="00CC12F6" w:rsidP="00C27AAE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9D6D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43EEAA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7D38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EC130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3CE8A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373E6D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1.41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62C19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5.93</w:t>
            </w:r>
          </w:p>
        </w:tc>
      </w:tr>
      <w:tr w:rsidR="00CC12F6" w:rsidRPr="00BD26EB" w14:paraId="4EC287D1" w14:textId="77777777" w:rsidTr="00C27AAE">
        <w:trPr>
          <w:trHeight w:val="30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67B41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Physical health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7507A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2C90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D8444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02D2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906D4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BD4DA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57F79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CC12F6" w:rsidRPr="00BD26EB" w14:paraId="2DFDA5B7" w14:textId="77777777" w:rsidTr="00C27AAE">
        <w:trPr>
          <w:trHeight w:val="31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3199" w14:textId="77777777" w:rsidR="00CC12F6" w:rsidRPr="00BD26EB" w:rsidRDefault="00CC12F6" w:rsidP="00C27AAE">
            <w:pPr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Excellent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3877CD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8B64F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56CF70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60D442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13.16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BB8FEA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12.26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8CD6BA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6.34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68BCA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8.82</w:t>
            </w:r>
          </w:p>
        </w:tc>
      </w:tr>
      <w:tr w:rsidR="00CC12F6" w:rsidRPr="00BD26EB" w14:paraId="14B6BB27" w14:textId="77777777" w:rsidTr="00C27AAE">
        <w:trPr>
          <w:trHeight w:val="315"/>
        </w:trPr>
        <w:tc>
          <w:tcPr>
            <w:tcW w:w="32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B3571" w14:textId="77777777" w:rsidR="00CC12F6" w:rsidRPr="00BD26EB" w:rsidRDefault="00CC12F6" w:rsidP="00C27AAE">
            <w:pPr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Very good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CE39B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882F11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31.80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826B15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2B82D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32.41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70955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28.61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1E730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32.39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301C3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24.26</w:t>
            </w:r>
          </w:p>
        </w:tc>
      </w:tr>
      <w:tr w:rsidR="00CC12F6" w:rsidRPr="00BD26EB" w14:paraId="27543F11" w14:textId="77777777" w:rsidTr="00C27AAE">
        <w:trPr>
          <w:trHeight w:val="31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8CDA" w14:textId="77777777" w:rsidR="00CC12F6" w:rsidRPr="00BD26EB" w:rsidRDefault="00CC12F6" w:rsidP="00C27AAE">
            <w:pPr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65E2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182CDC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44.35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DAA1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32.18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3411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38.64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142E06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36.24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3677E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42.25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24C4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38.97</w:t>
            </w:r>
          </w:p>
        </w:tc>
      </w:tr>
      <w:tr w:rsidR="00CC12F6" w:rsidRPr="00BD26EB" w14:paraId="3BA58166" w14:textId="77777777" w:rsidTr="00C27AAE">
        <w:trPr>
          <w:trHeight w:val="330"/>
        </w:trPr>
        <w:tc>
          <w:tcPr>
            <w:tcW w:w="324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60446C4" w14:textId="77777777" w:rsidR="00CC12F6" w:rsidRPr="00BD26EB" w:rsidRDefault="00CC12F6" w:rsidP="00C27AA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Fair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BCB0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9.25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7E49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13.81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95F07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5F782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0ECCD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18.80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D9214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16.20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DE9275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25.74</w:t>
            </w:r>
          </w:p>
        </w:tc>
      </w:tr>
      <w:tr w:rsidR="00CC12F6" w:rsidRPr="00BD26EB" w14:paraId="6443ED3C" w14:textId="77777777" w:rsidTr="00C27AAE">
        <w:trPr>
          <w:trHeight w:val="31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1F94D" w14:textId="77777777" w:rsidR="00CC12F6" w:rsidRPr="00BD26EB" w:rsidRDefault="00CC12F6" w:rsidP="00C27AAE">
            <w:pPr>
              <w:spacing w:after="0" w:line="240" w:lineRule="auto"/>
              <w:ind w:firstLine="17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A5D13E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59224C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85913B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215330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81083D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260804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2.82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0E64F6" w14:textId="77777777" w:rsidR="00CC12F6" w:rsidRPr="000B5E3E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2.21</w:t>
            </w:r>
          </w:p>
        </w:tc>
      </w:tr>
      <w:tr w:rsidR="00CC12F6" w:rsidRPr="00BD26EB" w14:paraId="3935278A" w14:textId="77777777" w:rsidTr="00C27AAE">
        <w:trPr>
          <w:trHeight w:val="315"/>
        </w:trPr>
        <w:tc>
          <w:tcPr>
            <w:tcW w:w="3245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F5A9" w14:textId="77777777" w:rsidR="00CC12F6" w:rsidRPr="00BD26EB" w:rsidRDefault="00CC12F6" w:rsidP="00C27AAE">
            <w:pPr>
              <w:spacing w:after="0" w:line="240" w:lineRule="auto"/>
              <w:ind w:firstLineChars="15"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Hospital admission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 (in days)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0D063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 (0.66)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B48A88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0.11 (0.77)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3445E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0.06 (0.47)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D2B67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0.03 (0.24)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FF2C9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0.18 (3.14)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02024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0.20 (1.66)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D4D8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0.26 (1.75)</w:t>
            </w:r>
          </w:p>
        </w:tc>
      </w:tr>
      <w:tr w:rsidR="00CC12F6" w:rsidRPr="00BD26EB" w14:paraId="65391A7C" w14:textId="77777777" w:rsidTr="00C27AAE">
        <w:trPr>
          <w:trHeight w:val="31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A2A4" w14:textId="77777777" w:rsidR="00CC12F6" w:rsidRPr="00BD26EB" w:rsidRDefault="00CC12F6" w:rsidP="00C27AAE">
            <w:pPr>
              <w:spacing w:after="0" w:line="240" w:lineRule="auto"/>
              <w:ind w:firstLineChars="15"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Mental health care visits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7E3F5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0.27 (2.40)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0338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1.53 (6.57)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D4F2B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2.08 (6.82)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F62CA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 (3.31)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2DCE3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1.63 (6.87)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4C6D2B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 (6.63)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4E103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3.08 (8.74)</w:t>
            </w:r>
          </w:p>
        </w:tc>
      </w:tr>
      <w:tr w:rsidR="00CC12F6" w:rsidRPr="00BD26EB" w14:paraId="4EA912E5" w14:textId="77777777" w:rsidTr="00C27AAE">
        <w:trPr>
          <w:trHeight w:val="315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A048D" w14:textId="77777777" w:rsidR="00CC12F6" w:rsidRPr="00BD26EB" w:rsidRDefault="00CC12F6" w:rsidP="00C27AAE">
            <w:pPr>
              <w:spacing w:after="0" w:line="240" w:lineRule="auto"/>
              <w:ind w:firstLineChars="15" w:firstLine="3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285A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School Counselling services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D7894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0.12 (1.43)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179A10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0.39 (2.23)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7E188C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0.64 (3.45)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80B0AA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0.28 (2.17)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0642B2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0.83 (3.98)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997CF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0.46 (2.17)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819E76" w14:textId="77777777" w:rsidR="00CC12F6" w:rsidRPr="00BD26EB" w:rsidRDefault="00CC12F6" w:rsidP="00C27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1.15 (4.79)</w:t>
            </w:r>
          </w:p>
        </w:tc>
      </w:tr>
    </w:tbl>
    <w:p w14:paraId="4746C91C" w14:textId="77777777" w:rsidR="00CC12F6" w:rsidRDefault="00CC12F6" w:rsidP="00CC12F6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811482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Note. </w:t>
      </w:r>
      <w:r w:rsidRPr="00AA5769">
        <w:rPr>
          <w:rFonts w:ascii="Times New Roman" w:hAnsi="Times New Roman" w:cs="Times New Roman"/>
          <w:sz w:val="20"/>
          <w:szCs w:val="20"/>
        </w:rPr>
        <w:t>Percentage of participants is displayed by study groups</w:t>
      </w:r>
      <w:r>
        <w:rPr>
          <w:rFonts w:ascii="Times New Roman" w:hAnsi="Times New Roman" w:cs="Times New Roman"/>
          <w:sz w:val="20"/>
          <w:szCs w:val="20"/>
        </w:rPr>
        <w:t xml:space="preserve"> are provided for the categories of the physical health and mental health outcomes. Means and standard deviations (between brackets) are displayed for the remaining outcomes</w:t>
      </w:r>
      <w:r w:rsidRPr="00AA5769">
        <w:rPr>
          <w:rFonts w:ascii="Times New Roman" w:hAnsi="Times New Roman" w:cs="Times New Roman"/>
          <w:sz w:val="20"/>
          <w:szCs w:val="20"/>
        </w:rPr>
        <w:t>.</w:t>
      </w:r>
      <w:r w:rsidRPr="00AA576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019E22EC" w14:textId="77777777" w:rsidR="00CC12F6" w:rsidRDefault="00CC12F6" w:rsidP="00CC12F6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  <w:sectPr w:rsidR="00CC12F6" w:rsidSect="00285A0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CG = Control group. </w:t>
      </w:r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MDD = Depression group. MDD+EXT = Depression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 ANX = Anxiety group. ANX+EXT = Anxiety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 ANX+MDD = Comorbid depression and anxiety group. ANX+MDD+EXT = Comorbid depression and anxiety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</w:t>
      </w:r>
    </w:p>
    <w:p w14:paraId="39248380" w14:textId="77777777" w:rsidR="00811482" w:rsidRPr="00811482" w:rsidRDefault="00811482" w:rsidP="00811482">
      <w:pPr>
        <w:rPr>
          <w:lang w:val="en-US"/>
        </w:rPr>
      </w:pPr>
      <w:bookmarkStart w:id="0" w:name="_GoBack"/>
      <w:bookmarkEnd w:id="0"/>
    </w:p>
    <w:p w14:paraId="48D59FF0" w14:textId="497FAAAB" w:rsidR="0057085B" w:rsidRPr="00811482" w:rsidRDefault="0057085B" w:rsidP="0057085B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t>Table S</w:t>
      </w:r>
      <w:r w:rsidR="00CC12F6">
        <w:rPr>
          <w:rFonts w:ascii="Times New Roman" w:hAnsi="Times New Roman"/>
          <w:i/>
          <w:sz w:val="20"/>
          <w:szCs w:val="20"/>
          <w:lang w:val="en-US"/>
        </w:rPr>
        <w:t>2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Attrition analysis statistics</w:t>
      </w:r>
      <w:r w:rsidR="002A564C" w:rsidRPr="0081148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27D55" w:rsidRPr="00811482">
        <w:rPr>
          <w:rFonts w:ascii="Times New Roman" w:hAnsi="Times New Roman"/>
          <w:sz w:val="20"/>
          <w:szCs w:val="20"/>
          <w:lang w:val="en-US"/>
        </w:rPr>
        <w:t xml:space="preserve">on the study </w:t>
      </w:r>
      <w:r w:rsidR="002A564C" w:rsidRPr="00811482">
        <w:rPr>
          <w:rFonts w:ascii="Times New Roman" w:hAnsi="Times New Roman"/>
          <w:sz w:val="20"/>
          <w:szCs w:val="20"/>
          <w:lang w:val="en-US"/>
        </w:rPr>
        <w:t>sample</w:t>
      </w:r>
      <w:r w:rsidRPr="00811482">
        <w:rPr>
          <w:rFonts w:ascii="Times New Roman" w:hAnsi="Times New Roman"/>
          <w:sz w:val="20"/>
          <w:szCs w:val="20"/>
          <w:lang w:val="en-US"/>
        </w:rPr>
        <w:t>.</w:t>
      </w:r>
    </w:p>
    <w:tbl>
      <w:tblPr>
        <w:tblW w:w="7168" w:type="dxa"/>
        <w:tblLook w:val="04A0" w:firstRow="1" w:lastRow="0" w:firstColumn="1" w:lastColumn="0" w:noHBand="0" w:noVBand="1"/>
      </w:tblPr>
      <w:tblGrid>
        <w:gridCol w:w="4269"/>
        <w:gridCol w:w="1543"/>
        <w:gridCol w:w="1356"/>
      </w:tblGrid>
      <w:tr w:rsidR="002A564C" w:rsidRPr="00811482" w14:paraId="7D3E20AC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59D3E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E324F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Contrast test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CD1EC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Effect size</w:t>
            </w:r>
          </w:p>
        </w:tc>
      </w:tr>
      <w:tr w:rsidR="002A564C" w:rsidRPr="00811482" w14:paraId="0888644F" w14:textId="77777777" w:rsidTr="002A564C">
        <w:trPr>
          <w:trHeight w:val="300"/>
        </w:trPr>
        <w:tc>
          <w:tcPr>
            <w:tcW w:w="4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3CC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4920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2.34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3FAB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2A564C" w:rsidRPr="00811482" w14:paraId="28647F91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CE5D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 group</w:t>
            </w: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B14F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553.49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059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2A564C" w:rsidRPr="00811482" w14:paraId="1851A6A3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B39F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9B5A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8.31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D9534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  <w:tr w:rsidR="002A564C" w:rsidRPr="00811482" w14:paraId="3FC7D73C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7E47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Race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3313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2C1B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2A564C" w:rsidRPr="00811482" w14:paraId="1CBE20AD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E0F3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Physical diseases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C769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21.75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C7CF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2A564C" w:rsidRPr="00811482" w14:paraId="14357DBE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4378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Parents' education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3C66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0.42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472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0.02</w:t>
            </w:r>
          </w:p>
        </w:tc>
      </w:tr>
      <w:tr w:rsidR="002A564C" w:rsidRPr="00811482" w14:paraId="5B09EE6F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A409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Household income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C815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3.32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AD2B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0.01</w:t>
            </w:r>
          </w:p>
        </w:tc>
      </w:tr>
      <w:tr w:rsidR="002A564C" w:rsidRPr="00811482" w14:paraId="3708FBFD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1C9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Urbanicity</w:t>
            </w:r>
          </w:p>
        </w:tc>
        <w:tc>
          <w:tcPr>
            <w:tcW w:w="15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05B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2.23</w:t>
            </w:r>
          </w:p>
        </w:tc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FB6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0.04</w:t>
            </w:r>
          </w:p>
        </w:tc>
      </w:tr>
      <w:tr w:rsidR="002A564C" w:rsidRPr="00811482" w14:paraId="17920E67" w14:textId="77777777" w:rsidTr="002A564C">
        <w:trPr>
          <w:trHeight w:val="300"/>
        </w:trPr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7EEB3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Biological parents living with adolescent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D4868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8.93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F8F88" w14:textId="77777777" w:rsidR="002A564C" w:rsidRPr="00811482" w:rsidRDefault="002A564C" w:rsidP="002A56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0.07</w:t>
            </w:r>
          </w:p>
        </w:tc>
      </w:tr>
    </w:tbl>
    <w:p w14:paraId="593F4F85" w14:textId="77777777" w:rsidR="002A564C" w:rsidRPr="00811482" w:rsidRDefault="0057085B" w:rsidP="0057085B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t>Note.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 These statistics reflect the results of comparing the whole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clinical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sample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(</w:t>
      </w:r>
      <w:proofErr w:type="spellStart"/>
      <w:r w:rsidR="00723315" w:rsidRPr="00811482">
        <w:rPr>
          <w:rFonts w:ascii="Times New Roman" w:hAnsi="Times New Roman"/>
          <w:sz w:val="20"/>
          <w:szCs w:val="20"/>
          <w:lang w:val="en-US"/>
        </w:rPr>
        <w:t>generalised</w:t>
      </w:r>
      <w:proofErr w:type="spellEnd"/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 linear model sample; </w:t>
      </w:r>
      <w:r w:rsidR="00723315"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= 1781) </w:t>
      </w:r>
      <w:r w:rsidRPr="00811482">
        <w:rPr>
          <w:rFonts w:ascii="Times New Roman" w:hAnsi="Times New Roman"/>
          <w:sz w:val="20"/>
          <w:szCs w:val="20"/>
          <w:lang w:val="en-US"/>
        </w:rPr>
        <w:t>and the sample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 in symptom network analyses (</w:t>
      </w:r>
      <w:r w:rsidR="00723315"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= 1173</w:t>
      </w:r>
      <w:r w:rsidR="002A564C" w:rsidRPr="00811482">
        <w:rPr>
          <w:rFonts w:ascii="Times New Roman" w:hAnsi="Times New Roman"/>
          <w:sz w:val="20"/>
          <w:szCs w:val="20"/>
          <w:lang w:val="en-US"/>
        </w:rPr>
        <w:t>).</w:t>
      </w:r>
    </w:p>
    <w:p w14:paraId="6CDA93CE" w14:textId="77777777" w:rsidR="0057085B" w:rsidRPr="00811482" w:rsidRDefault="0057085B" w:rsidP="0057085B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sz w:val="20"/>
          <w:szCs w:val="20"/>
          <w:lang w:val="en-US"/>
        </w:rPr>
        <w:t xml:space="preserve">Contrast tests consisted of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t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-based tests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for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continuous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factors and </w:t>
      </w:r>
      <w:r w:rsidRPr="00811482">
        <w:rPr>
          <w:rFonts w:ascii="Times New Roman" w:hAnsi="Times New Roman"/>
          <w:sz w:val="20"/>
          <w:szCs w:val="20"/>
          <w:lang w:val="en-US"/>
        </w:rPr>
        <w:sym w:font="Symbol" w:char="F063"/>
      </w:r>
      <w:r w:rsidRPr="00811482">
        <w:rPr>
          <w:rFonts w:ascii="Times New Roman" w:hAnsi="Times New Roman"/>
          <w:sz w:val="20"/>
          <w:szCs w:val="20"/>
          <w:vertAlign w:val="superscript"/>
          <w:lang w:val="en-US"/>
        </w:rPr>
        <w:t>2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 xml:space="preserve"> tests for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non-continuous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ones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. Effect size estimates were Cohen’s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d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 (continuous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factors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) and Cramer’s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V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 (for non-continuous </w:t>
      </w:r>
      <w:r w:rsidR="00723315" w:rsidRPr="00811482">
        <w:rPr>
          <w:rFonts w:ascii="Times New Roman" w:hAnsi="Times New Roman"/>
          <w:sz w:val="20"/>
          <w:szCs w:val="20"/>
          <w:lang w:val="en-US"/>
        </w:rPr>
        <w:t>factors</w:t>
      </w:r>
      <w:r w:rsidRPr="00811482">
        <w:rPr>
          <w:rFonts w:ascii="Times New Roman" w:hAnsi="Times New Roman"/>
          <w:sz w:val="20"/>
          <w:szCs w:val="20"/>
          <w:lang w:val="en-US"/>
        </w:rPr>
        <w:t>) statistics.</w:t>
      </w:r>
    </w:p>
    <w:p w14:paraId="186534A8" w14:textId="77777777" w:rsidR="002A564C" w:rsidRPr="00811482" w:rsidRDefault="002A564C" w:rsidP="002A564C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sz w:val="20"/>
          <w:szCs w:val="20"/>
          <w:vertAlign w:val="superscript"/>
          <w:lang w:val="en-US"/>
        </w:rPr>
        <w:t>1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 Sample size by study group in the symptom network analyses: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MDD group = 232,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MDD+EXT group = 172,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ANX group = 290,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ANX+EXT group = 204,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 xml:space="preserve">ANX+MDD group = 139, 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 xml:space="preserve">n </w:t>
      </w:r>
      <w:r w:rsidRPr="00811482">
        <w:rPr>
          <w:rFonts w:ascii="Times New Roman" w:hAnsi="Times New Roman"/>
          <w:sz w:val="20"/>
          <w:szCs w:val="20"/>
          <w:lang w:val="en-US"/>
        </w:rPr>
        <w:t>ANX+MDD+EXT group = 136.</w:t>
      </w:r>
    </w:p>
    <w:p w14:paraId="7DA1DD61" w14:textId="77777777" w:rsidR="002A564C" w:rsidRPr="00811482" w:rsidRDefault="002A564C" w:rsidP="0057085B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14:paraId="45B6D5F6" w14:textId="77777777" w:rsidR="0057085B" w:rsidRPr="00811482" w:rsidRDefault="0057085B">
      <w:pPr>
        <w:rPr>
          <w:rFonts w:ascii="Times New Roman" w:eastAsiaTheme="majorEastAsia" w:hAnsi="Times New Roman" w:cs="Times New Roman"/>
          <w:i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i/>
          <w:sz w:val="20"/>
          <w:szCs w:val="20"/>
          <w:lang w:val="en-US"/>
        </w:rPr>
        <w:br w:type="page"/>
      </w:r>
    </w:p>
    <w:p w14:paraId="07D088E3" w14:textId="77777777" w:rsidR="006635A1" w:rsidRDefault="006635A1" w:rsidP="004B4B99">
      <w:pPr>
        <w:spacing w:after="0" w:line="360" w:lineRule="auto"/>
        <w:rPr>
          <w:rFonts w:ascii="Times New Roman" w:hAnsi="Times New Roman"/>
          <w:i/>
          <w:sz w:val="20"/>
          <w:szCs w:val="20"/>
          <w:lang w:val="en-US"/>
        </w:rPr>
        <w:sectPr w:rsidR="006635A1" w:rsidSect="0057085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23B24CC" w14:textId="071000A0" w:rsidR="004B4B99" w:rsidRDefault="004B4B99" w:rsidP="004B4B99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 w:rsidR="006635A1">
        <w:rPr>
          <w:rFonts w:ascii="Times New Roman" w:hAnsi="Times New Roman"/>
          <w:i/>
          <w:sz w:val="20"/>
          <w:szCs w:val="20"/>
          <w:lang w:val="en-US"/>
        </w:rPr>
        <w:t>A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6635A1">
        <w:rPr>
          <w:rFonts w:ascii="Times New Roman" w:hAnsi="Times New Roman"/>
          <w:sz w:val="20"/>
          <w:szCs w:val="20"/>
          <w:lang w:val="en-US"/>
        </w:rPr>
        <w:t>Tetrachoric correlation matrix between symptoms in the major depression disorder 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35A1" w:rsidRPr="006635A1" w14:paraId="006A9AD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83821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1C0F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F5523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023E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4E54E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BB8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7B078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D2C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04BF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42BDF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7F47C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2B32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0C38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9E7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E96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C1C9E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6635A1" w:rsidRPr="006635A1" w14:paraId="42F85D1D" w14:textId="77777777" w:rsidTr="006635A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561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9E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B38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F9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6FD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6C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1A25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780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F0E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B692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D17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3A39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6D49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628F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ED84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C3DB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AF2CFA3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ED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AFAD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56E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BFF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B9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21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78D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D62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848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4C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F01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1B1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029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64C3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36C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DEE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C4E2A20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712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52C2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B7EE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F45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379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1020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84A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1DAC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3ACE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2B1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B1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291A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A1C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A88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9B29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BDC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2ED3916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D54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C11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1A0E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97C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78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F3B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58DB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6D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8233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B6A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40D0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3880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7266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9026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EF4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6B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6FA59068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E49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B247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385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6B5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36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0B98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9F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C80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2062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F5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D93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66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DF0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316A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83F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A4A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E7A8A7E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E6E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344B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1024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C5D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DE2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9C97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3CC6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646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CA1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EED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A471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697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4D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52A6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D9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F46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65DD7CBD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FF3F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E3B2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0B9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941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1AF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0D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4BE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8B9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BCAA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4DE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B335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7E3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20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3193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70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EB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9E3542E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73D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8F1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5DB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344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FD30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F8EF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17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0988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822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AD4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4DC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53A0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133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E38D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538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9B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534A6EF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12BD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F4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F91B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5C2E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760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ECE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6A9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67A4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D9A6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A675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7EB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869C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FAF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E967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FE15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4E60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5B06A72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F4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27A3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6B7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D02A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A2F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9EA3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A303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7B23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25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DF47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8C0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7EDE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D9FF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D93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029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B3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9799776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6734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25A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0EC7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C74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3137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5EA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59B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299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42F4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5AFD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7EC8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8CE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6BE7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B5F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2C3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8F8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6672B5FC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58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B5B6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A90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88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DD3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2C45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7E3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0EA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8FC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3E5F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9839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989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07C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E6C5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E5C6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BDAB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3A9631F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C69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FB4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57C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E8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EA8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327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45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639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81F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9E8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1595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3BB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934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ED7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1A9E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F9A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18AB23F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4C626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167972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E1DB00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F774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47EDE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7DA6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87048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8D3C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60E5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625E5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C9F8E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DE8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B3B78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953E0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78F6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B8AA93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635A1" w:rsidRPr="006635A1" w14:paraId="4057B3C3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E4D9C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283C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71C4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48A3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C813B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A906F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7CB6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8E4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8C66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F8F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951D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44C62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735A8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3DC8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0F324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09B4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0D3640C5" w14:textId="77777777" w:rsidR="006635A1" w:rsidRDefault="006635A1" w:rsidP="004B4B99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2A8F2366" w14:textId="77777777" w:rsidR="006635A1" w:rsidRPr="00330072" w:rsidRDefault="006635A1" w:rsidP="006635A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 person. so1 = Shy/afraid/uncomfortable meeting new people. so2 = Shy/afraid/uncomfortable talking to authority. so3 = Shy/afraid/uncomfortable speaking in class.</w:t>
      </w:r>
    </w:p>
    <w:p w14:paraId="6AD8CAFC" w14:textId="504DC73C" w:rsidR="006635A1" w:rsidRDefault="006635A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8726295" w14:textId="79F2EC3E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B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Tetrachoric correlation matrix between symptoms in the major depression disorder with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externalising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disorder 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35A1" w:rsidRPr="006635A1" w14:paraId="22A345C3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6DA6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90889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D42B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8CD4F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D440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AE32C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D98A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66B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D934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C8F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9C48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3CF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CB432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DB390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6CA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FD8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6635A1" w:rsidRPr="006635A1" w14:paraId="7418B572" w14:textId="77777777" w:rsidTr="006635A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80EF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43F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7DCD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F25D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F3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BAD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0B88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4BB1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A07F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97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EE3C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592C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A06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26D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0B3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7F7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E532807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5BF9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4C4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DB8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E8E4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63B4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DC1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CA57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D7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A1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B6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393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8928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B2EF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E03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98F5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F64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B673719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7D8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31D2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21FB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83C7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4CB3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5E8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20F0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6EBE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533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AC2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6D24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D979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DD66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7C12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9DFC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346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924BF7C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9C3C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963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FD0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84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3B9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5E67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62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945F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DE8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0DE4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CBE8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64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22AB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395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DCB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F26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463066C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2E0B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3E99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5B5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1F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E14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D8F0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E46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E2D1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53EC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6F7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1E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3C54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2ECF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627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486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2E4D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32BEDCB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A14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840E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FF5F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C59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C3D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EF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C52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A836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029E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4C2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5A1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B7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EAE6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4A7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379E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8F9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2BE04CD7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E524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812E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8F4B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FF1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CAE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AC2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27E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D8C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240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CC7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FBB7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738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CDA5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193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4ADC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C4F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C1AF776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099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520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973D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DD9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82C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319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CFA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50B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650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019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215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447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9BF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A390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B93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404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C81DACE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442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C9F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60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8F3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23D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B0D1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261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00F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5D7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A4C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D31C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C3E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77D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2D0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54E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BCFD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B9AB94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3C70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7E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A3E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F983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EE13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3BE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E9C0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3D9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A4A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6FB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1731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F40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66CA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769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D573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81F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6D5E6892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27C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898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AEB2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CF5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A40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AB9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BB5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9E9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898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BD5A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FD23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149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EB64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4D6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3C8D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F6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8DF1CA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944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AA57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430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AAE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2D3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3D4F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07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AF0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843D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F58D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FD9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3AE6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5FCB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D79E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BA4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86B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E6B024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B5FF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DD8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23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50C0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03E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127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ECF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418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070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9C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0C93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4A3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88D4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A2D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6329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F49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2F2F3AC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423B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F446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B445CE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8ABF7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48D2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CC63CB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140F7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8A26A7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DAA14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36A29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C299D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6940BD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972F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FE11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E70A9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D8E82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635A1" w:rsidRPr="006635A1" w14:paraId="117B714F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F16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2CB8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8215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3001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F80A4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F83B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5DAE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59A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17F8B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AE24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C6CAE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1DDA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00C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5DE1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06D2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B6377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48EBA91B" w14:textId="77777777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13C35F8E" w14:textId="77777777" w:rsidR="006635A1" w:rsidRPr="00330072" w:rsidRDefault="006635A1" w:rsidP="006635A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 person. so1 = Shy/afraid/uncomfortable meeting new people. so2 = Shy/afraid/uncomfortable talking to authority. so3 = Shy/afraid/uncomfortable speaking in class.</w:t>
      </w:r>
    </w:p>
    <w:p w14:paraId="0FA0DCBC" w14:textId="77777777" w:rsidR="006635A1" w:rsidRDefault="006635A1" w:rsidP="004B4B99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C111437" w14:textId="2940D1B2" w:rsidR="006635A1" w:rsidRDefault="006635A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7E9A66B2" w14:textId="3F974972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C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Tetrachoric correlation matrix between symptoms in the anxiety disorder 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35A1" w:rsidRPr="006635A1" w14:paraId="3EDEC59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5112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2F09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DB1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ECAD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B674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CC4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0C999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DCEE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7A75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CCC27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4D896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9E02E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2056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5FD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2F91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A0C1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6635A1" w:rsidRPr="006635A1" w14:paraId="5EE22131" w14:textId="77777777" w:rsidTr="006635A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25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AB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E641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19D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74EE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4E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3F8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A2C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35D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9E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FB69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D8BD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72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E19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1E90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68E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909B437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046D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917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BDA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376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1A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5FDC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507F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F7EA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B74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774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2C2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399B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E159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E4C1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913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5869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B47342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355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51B0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B70A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C9F1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FD9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0413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30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4F7E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20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53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ABF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1D9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906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BC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347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360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788BED9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DFC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0D6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4B84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F164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4D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5D7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AF1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F57A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2247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D22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DA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298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ADF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1D2D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58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24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CBE31A0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388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BD8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6F2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B0B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62E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D885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821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EA7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87D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A28C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D08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AE04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971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47B3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7F0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30D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5AE2F3F6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7D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AD31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0FC0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C79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383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038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73E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A94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FA5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438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B2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76E1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D7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626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42E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853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7431865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601C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002B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520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2A4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88CA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9C39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F2D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0CF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720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43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8E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E2E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D33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B069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84BB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46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D064E26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AB5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06F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D3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594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739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96B6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67F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49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7F4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DAC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2FD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102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28A5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2902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068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A10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F13F058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D6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7B5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58E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1E6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BEC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21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74A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A91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ABC8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A94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20C9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103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91F3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02F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4D7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E23E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DE9C714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825E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205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134C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2BB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EF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129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110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3D0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E6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148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591E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3C5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76F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FAE9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8E6E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6A9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6308DDC4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70D0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B994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56EB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689B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F680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700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0E94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1FDC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322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DD5D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2550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3D9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8670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4BE1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AC9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677A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4115B50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867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4A0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C2E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D9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897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D8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7F46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917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CB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7C1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695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3D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C4E7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A1A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7895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D35A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D86B364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AC4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240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84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E452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10A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AB0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4E32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C2C8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6436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50E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96C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FA14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58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F6F3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8C0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32A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2D2F42F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39D0B6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ACB1C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1129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665728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E83E7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B18B1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A31B0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565C7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26FDC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E38BD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579C12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F3D88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C660F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08317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2BA0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4B4F53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635A1" w:rsidRPr="006635A1" w14:paraId="17AAF21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9331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988FC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D1A50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B409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CB407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73DBE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9321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93AD7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38E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A877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9AD0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5A9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BC642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A75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53A62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19039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61C48CC4" w14:textId="7457D209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35336776" w14:textId="77777777" w:rsidR="006635A1" w:rsidRDefault="006635A1" w:rsidP="006635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6B95263" w14:textId="1014EE51" w:rsidR="006635A1" w:rsidRDefault="006635A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71BEDC" w14:textId="08EEB976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D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Tetrachoric correlation matrix between symptoms in the anxiety disorder and comorbid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externalising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disorder 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635A1" w:rsidRPr="006635A1" w14:paraId="58561CD3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2D25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B706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33E66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9CB3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96BF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33B6C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F85A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852A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8D8C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0C53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8A01E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6F21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328F5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294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E51DE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B895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6635A1" w:rsidRPr="006635A1" w14:paraId="16ABF353" w14:textId="77777777" w:rsidTr="006635A1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CB3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86DD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A02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EA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DE9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8852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8172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C4C8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43C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55C1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07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4D88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38FB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C6E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59C1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BD7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57D119F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2703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0A7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3281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597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33BD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82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14D4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18A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09E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D93A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773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32B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CCB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90C0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E4A7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AD2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5D91BA1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719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E1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2E8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102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10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C9C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083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62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3DCF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92C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502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5EF0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2A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F2B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9DF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01D1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083082BC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B74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AC5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4F42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849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B85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40B7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8CB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A69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58D6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B2D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355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B7B4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56F6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414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8BEA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6CF6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1672627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41C9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ACDB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1AF2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542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FB5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727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FD25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4799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A768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28BA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4B21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0816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0577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7E89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2AE7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DB4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906695E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F82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7BA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65B0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01E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B2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508F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56D3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C3C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C96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C8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878D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0F27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2FD6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00C0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AE1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0A8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4E05EEB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5269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81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704D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0EC3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1EF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F9A6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2C8F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58A0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CC23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4E2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B5DA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83F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96C9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7FE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A0B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D81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B93E139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658C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AA6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EF32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3446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3514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A7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ED4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9C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749A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650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0A6F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2415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CC1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BEAC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A30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D9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0709378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40DB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E0BC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A2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3D9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415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EA8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F9E4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34B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AC3A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14EA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2A30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5E96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4A2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04D2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D568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0C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3B85899A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63F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39B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640F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B96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2EB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9EB1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85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F106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2A9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CC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2A86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4A8B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D1E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60E5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ED4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7F74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7CEE0E40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9EB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13D5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B76F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CB2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FACE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0A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7A47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D7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13B0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E96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43CA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6E461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4025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A26F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65C8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9603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48AB23B3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5A46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03C9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213EC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32A1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36B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2C8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0EB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EF8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176B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30C6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F12A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A43B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5A2A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E616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A5EE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217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18B6638D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56B9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D1FFF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76E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BE3D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CFF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95CE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78D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73B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058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2D0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DCA8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F541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AC9C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BD13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57FA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FC3C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35A1" w:rsidRPr="006635A1" w14:paraId="52FC353F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815E78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B5ED3B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FED18D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5DF49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20CBEBB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FDF402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86D60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9CDBA9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47AEEF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B2F677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A0BD8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93F5E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4E780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5FE38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A8D8A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8D8A36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6635A1" w:rsidRPr="006635A1" w14:paraId="5EDA12C5" w14:textId="77777777" w:rsidTr="006635A1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3A6D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74C16E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D50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FAFA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B1C320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978455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BC8553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38FD4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1873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6D229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D5045A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4B029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B6E8F7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141DED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CF0E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42A5A8" w14:textId="77777777" w:rsidR="006635A1" w:rsidRPr="006635A1" w:rsidRDefault="006635A1" w:rsidP="00663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63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52360224" w14:textId="77777777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7CFCF0BF" w14:textId="77777777" w:rsidR="006635A1" w:rsidRDefault="006635A1" w:rsidP="006635A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E0741BE" w14:textId="0EACCF25" w:rsidR="006635A1" w:rsidRDefault="006635A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29ACCA3A" w14:textId="2C2F998F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E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Tetrachoric correlation matrix between symptoms in the </w:t>
      </w:r>
      <w:proofErr w:type="spellStart"/>
      <w:r w:rsidR="00DF1FE3" w:rsidRPr="00DF1FE3">
        <w:rPr>
          <w:rFonts w:ascii="Times New Roman" w:hAnsi="Times New Roman"/>
          <w:sz w:val="20"/>
          <w:szCs w:val="20"/>
          <w:lang w:val="en-US"/>
        </w:rPr>
        <w:t>internalising</w:t>
      </w:r>
      <w:proofErr w:type="spellEnd"/>
      <w:r w:rsidR="00DF1FE3" w:rsidRPr="00DF1FE3">
        <w:rPr>
          <w:rFonts w:ascii="Times New Roman" w:hAnsi="Times New Roman"/>
          <w:sz w:val="20"/>
          <w:szCs w:val="20"/>
          <w:lang w:val="en-US"/>
        </w:rPr>
        <w:t xml:space="preserve"> disorder </w:t>
      </w:r>
      <w:r>
        <w:rPr>
          <w:rFonts w:ascii="Times New Roman" w:hAnsi="Times New Roman"/>
          <w:sz w:val="20"/>
          <w:szCs w:val="20"/>
          <w:lang w:val="en-US"/>
        </w:rPr>
        <w:t>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F1FE3" w:rsidRPr="00DF1FE3" w14:paraId="4D73C060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9E2E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535CE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F52B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B4558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41CDD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B5D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E393B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64CB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DABB5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0BEF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B9AC9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20026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96E4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D793F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54819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FB3D8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DF1FE3" w:rsidRPr="00DF1FE3" w14:paraId="5FEA06A9" w14:textId="77777777" w:rsidTr="00DF1FE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8116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267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03D8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55AE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46B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2110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3F7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560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B5C0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62F1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9683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EC35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7D80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6BFE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D18C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D2B1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31EB5095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E794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F8A9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5592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851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349A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D490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7AF0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0B7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BA1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CB9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F15E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8573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F04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A300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0908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434D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70F923A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F1F8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A194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85CF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3FF2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F1E5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579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D6C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8BF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D8BA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4D7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C8D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CD9D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D37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6B4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563C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1BE5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29308939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A29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88A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72EC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814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94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DC09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23F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1E8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47F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88D7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7298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0F51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2D0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8205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A00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669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14B10B19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D056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62FD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287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69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7EE0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2AC9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45CA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0C5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99DD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8810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B513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7C37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251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AC5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2CD4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A6C7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0E1A9AD9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3722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F4B9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3984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5AD0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B486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531B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305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7706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55F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DEAA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A67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34B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9070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F7A5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7EC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8FB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4DC761AB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341F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418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8CD5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AC73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7AC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BA9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8AC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A7AA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0901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4B55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ED06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D156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A9CB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9D8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17D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1D0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5DDE5FB7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CBF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EA8D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A38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276E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0AA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CD0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802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F2BC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8D0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5911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D3FF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B70D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4FC5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6D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B6B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8234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0B50DFD6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AD22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513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0F75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322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EE2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64E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DE37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CB41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7D4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7518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8DF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37E0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5E1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24A8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1647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84A8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28678D1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7DBB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43C6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DA46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9596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085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648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E3DE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88D7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81F4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4CE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3E66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BB96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0A5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DA3B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E83D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4993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C9299AA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DFB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437A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73EF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80A0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6CA5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D9D9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601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C8CA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D7F2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488F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808C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4D2D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87BC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0A78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7E60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030F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75F69383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E025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DA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14C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77E3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79B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565D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0873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096A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9C0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68B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532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DA9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A76D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E5D6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28BA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EE3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0F9B8D85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F92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3609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D9FD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58F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3F5C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91C1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7E37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2EA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29B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606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19B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D5B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4F10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0473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87AD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977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55E9464C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90E0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F845F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A1674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F03F85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5C055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346AB1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1F216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51F45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516973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EB450B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88F1E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EB586C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FF97E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C73EB5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61726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139EA9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F1FE3" w:rsidRPr="00DF1FE3" w14:paraId="5EB76695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AA84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771E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8B1C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8446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B516F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E924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7F003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7337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BD2F3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967E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342B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43127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282A9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7725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E990D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66C59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2BB8A7CA" w14:textId="77777777" w:rsidR="00DF1FE3" w:rsidRDefault="00DF1FE3" w:rsidP="00DF1FE3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6609BF6E" w14:textId="77777777" w:rsidR="00DF1FE3" w:rsidRDefault="00DF1FE3" w:rsidP="00DF1F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098EE4A" w14:textId="77777777" w:rsidR="006635A1" w:rsidRPr="00DF1FE3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4F4696A" w14:textId="77777777" w:rsidR="00DF1FE3" w:rsidRDefault="00DF1FE3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</w:p>
    <w:p w14:paraId="16936662" w14:textId="0F7CFFC5" w:rsidR="00DF1FE3" w:rsidRDefault="00DF1FE3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br w:type="page"/>
      </w:r>
    </w:p>
    <w:p w14:paraId="7353205C" w14:textId="00D5CC8D" w:rsidR="00DF1FE3" w:rsidRDefault="00DF1FE3" w:rsidP="00DF1FE3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3</w:t>
      </w:r>
      <w:r>
        <w:rPr>
          <w:rFonts w:ascii="Times New Roman" w:hAnsi="Times New Roman"/>
          <w:i/>
          <w:sz w:val="20"/>
          <w:szCs w:val="20"/>
          <w:lang w:val="en-US"/>
        </w:rPr>
        <w:t>F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 xml:space="preserve">Tetrachoric correlation matrix between symptoms in the </w:t>
      </w:r>
      <w:proofErr w:type="spellStart"/>
      <w:r w:rsidRPr="00DF1FE3">
        <w:rPr>
          <w:rFonts w:ascii="Times New Roman" w:hAnsi="Times New Roman"/>
          <w:sz w:val="20"/>
          <w:szCs w:val="20"/>
          <w:lang w:val="en-US"/>
        </w:rPr>
        <w:t>internalising</w:t>
      </w:r>
      <w:proofErr w:type="spellEnd"/>
      <w:r w:rsidRPr="00DF1FE3">
        <w:rPr>
          <w:rFonts w:ascii="Times New Roman" w:hAnsi="Times New Roman"/>
          <w:sz w:val="20"/>
          <w:szCs w:val="20"/>
          <w:lang w:val="en-US"/>
        </w:rPr>
        <w:t xml:space="preserve"> disorder </w:t>
      </w:r>
      <w:r>
        <w:rPr>
          <w:rFonts w:ascii="Times New Roman" w:hAnsi="Times New Roman"/>
          <w:sz w:val="20"/>
          <w:szCs w:val="20"/>
          <w:lang w:val="en-US"/>
        </w:rPr>
        <w:t xml:space="preserve">with comorbid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externali</w:t>
      </w:r>
      <w:r w:rsidR="00B3473F">
        <w:rPr>
          <w:rFonts w:ascii="Times New Roman" w:hAnsi="Times New Roman"/>
          <w:sz w:val="20"/>
          <w:szCs w:val="20"/>
          <w:lang w:val="en-US"/>
        </w:rPr>
        <w:t>s</w:t>
      </w:r>
      <w:r>
        <w:rPr>
          <w:rFonts w:ascii="Times New Roman" w:hAnsi="Times New Roman"/>
          <w:sz w:val="20"/>
          <w:szCs w:val="20"/>
          <w:lang w:val="en-US"/>
        </w:rPr>
        <w:t>ing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disorder group.</w:t>
      </w:r>
    </w:p>
    <w:tbl>
      <w:tblPr>
        <w:tblW w:w="10880" w:type="dxa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F1FE3" w:rsidRPr="00DF1FE3" w14:paraId="35F864CC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B487C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A8F2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2905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C7B31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2E6BA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E38C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8A17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780D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19AC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8CE5C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87A7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5FA37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0DE8F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AF071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AF385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117D1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</w:tr>
      <w:tr w:rsidR="00DF1FE3" w:rsidRPr="00DF1FE3" w14:paraId="2BF5CFBA" w14:textId="77777777" w:rsidTr="00DF1FE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FBB9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ag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E67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1AC0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0A79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FD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5F46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DAE0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9BBC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73F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C02C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2842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47E1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5515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E6B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90D9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3CA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3BF3BF0D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ECC1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9618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697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DA6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B73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CFD3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9F63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7D61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D84C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B9E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32D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C0A4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173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AB03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7A3F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A47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648BF07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190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D3FE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B3D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55C6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D93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A127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3BED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C325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FC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4A30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95C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25A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4AF1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ED45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AB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1F6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5E6FE5DB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553E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F742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86D8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E16E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6D5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73A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E8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701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85DC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1485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2322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497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875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B24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64B0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92C9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2BF7A083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F65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99F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7052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C9FC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5DA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550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23A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A733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E67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48D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1F0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81F3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33D1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BF56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138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360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7A24E923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8AD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593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626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F7F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788F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DF8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4B3D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4976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1F34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F045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9EA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5010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4590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6CC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5F4F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3E21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05D97A0D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0D5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58B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481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0A6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4D08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08E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FB74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6D01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A16A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356F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CD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F6B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9655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625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5A19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8B9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1D8B074C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F5C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1925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7D76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FD1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E01D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CFA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2DE9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2CF4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6B10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167E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E78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0CFC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FE5C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C18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FA8D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095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F453D44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3C22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C405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C178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6C8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626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5A7B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0AD3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E42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8D5E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328C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0520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7BA6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79FF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FD12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38A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3782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4A902B7E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566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AD10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1FB2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D839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82C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B482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D08B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445E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48B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1C0D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EE31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A1EE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627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0AA6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4DB2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7219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68E92326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15CD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446D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03D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70EC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B0F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FB8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F63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952F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1271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5C19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0EA6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DCA9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0B8E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321E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8C6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BA58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0DD66782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6481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5C2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E3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F4F9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845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E7E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65B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FBF3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6D75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762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4785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91744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62F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89B9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D5B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8287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1665D004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91C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DADC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046C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8A6A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098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BC9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D17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33A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6247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2D0E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5D972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3B53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C6D4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21C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43D3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094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FE3" w:rsidRPr="00DF1FE3" w14:paraId="7E8D74E1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E9F54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739E1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85283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644E2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16D9E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B335E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128EDB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-0.12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A3346F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C354265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0.07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2411B66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C4D187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A6E7B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0.04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914D9E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F8857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0.3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257E4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5692A6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F1FE3" w:rsidRPr="00DF1FE3" w14:paraId="0AECF0E0" w14:textId="77777777" w:rsidTr="00DF1FE3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C9E16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D954C8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65C1E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58AE1B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C3F6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8A34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5D1E2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59C66F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E602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A7043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17C81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22340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F33ED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-0.2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A7F7AC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D53C9A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82C5D9" w14:textId="77777777" w:rsidR="00DF1FE3" w:rsidRPr="00DF1FE3" w:rsidRDefault="00DF1FE3" w:rsidP="00DF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F1F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78689983" w14:textId="77777777" w:rsidR="00DF1FE3" w:rsidRDefault="00DF1FE3" w:rsidP="00DF1FE3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6635A1">
        <w:rPr>
          <w:rFonts w:ascii="Times New Roman" w:hAnsi="Times New Roman"/>
          <w:i/>
          <w:iCs/>
          <w:sz w:val="20"/>
          <w:szCs w:val="20"/>
          <w:lang w:val="en-US"/>
        </w:rPr>
        <w:t xml:space="preserve">Note. </w:t>
      </w:r>
      <w:r>
        <w:rPr>
          <w:rFonts w:ascii="Times New Roman" w:hAnsi="Times New Roman"/>
          <w:sz w:val="20"/>
          <w:szCs w:val="20"/>
          <w:lang w:val="en-US"/>
        </w:rPr>
        <w:t xml:space="preserve">The </w:t>
      </w:r>
      <w:r>
        <w:rPr>
          <w:rFonts w:ascii="Times New Roman" w:hAnsi="Times New Roman"/>
          <w:sz w:val="20"/>
          <w:szCs w:val="20"/>
          <w:lang w:val="en-US"/>
        </w:rPr>
        <w:sym w:font="Symbol" w:char="F072"/>
      </w:r>
      <w:r>
        <w:rPr>
          <w:rFonts w:ascii="Times New Roman" w:hAnsi="Times New Roman"/>
          <w:sz w:val="20"/>
          <w:szCs w:val="20"/>
          <w:lang w:val="en-US"/>
        </w:rPr>
        <w:t xml:space="preserve"> estimate is used. </w:t>
      </w:r>
    </w:p>
    <w:p w14:paraId="5FD63119" w14:textId="77777777" w:rsidR="00DF1FE3" w:rsidRDefault="00DF1FE3" w:rsidP="00DF1FE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30072">
        <w:rPr>
          <w:rFonts w:ascii="Times New Roman" w:hAnsi="Times New Roman" w:cs="Times New Roman"/>
          <w:b/>
          <w:sz w:val="20"/>
          <w:szCs w:val="20"/>
        </w:rPr>
        <w:t>Symptoms:</w:t>
      </w:r>
      <w:r w:rsidRPr="00330072">
        <w:rPr>
          <w:rFonts w:ascii="Times New Roman" w:hAnsi="Times New Roman" w:cs="Times New Roman"/>
          <w:sz w:val="20"/>
          <w:szCs w:val="20"/>
        </w:rPr>
        <w:t xml:space="preserve"> ag = Fearful of being in open space. d1 = Sadness. d2 = Discouraged about things in life most days. d3 = Thought about suicide. d4 = Speak/move more slowly than usual most days. d5 = More trouble concentrating most days. d6 = Low self-esteem. d7 = Felt worse than others most days. d8 = Felt guilty most days. g1 = Felt distress due to worry. p1 = Experience sudden attack. sa1 = Being sad/uncomfortable when apart from attachment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6CF07F" w14:textId="1F01D101" w:rsidR="00DF1FE3" w:rsidRPr="00DF1FE3" w:rsidRDefault="00DF1FE3" w:rsidP="006635A1">
      <w:pPr>
        <w:spacing w:after="0" w:line="360" w:lineRule="auto"/>
        <w:rPr>
          <w:rFonts w:ascii="Times New Roman" w:hAnsi="Times New Roman"/>
          <w:sz w:val="20"/>
          <w:szCs w:val="20"/>
        </w:rPr>
        <w:sectPr w:rsidR="00DF1FE3" w:rsidRPr="00DF1FE3" w:rsidSect="006635A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07BBADC5" w14:textId="4333D241" w:rsidR="006635A1" w:rsidRDefault="006635A1" w:rsidP="006635A1">
      <w:pPr>
        <w:spacing w:after="0" w:line="360" w:lineRule="auto"/>
        <w:rPr>
          <w:rFonts w:ascii="Times New Roman" w:hAnsi="Times New Roman"/>
          <w:sz w:val="20"/>
          <w:szCs w:val="20"/>
          <w:lang w:val="en-US"/>
        </w:rPr>
      </w:pPr>
      <w:r w:rsidRPr="00811482">
        <w:rPr>
          <w:rFonts w:ascii="Times New Roman" w:hAnsi="Times New Roman"/>
          <w:i/>
          <w:sz w:val="20"/>
          <w:szCs w:val="20"/>
          <w:lang w:val="en-US"/>
        </w:rPr>
        <w:lastRenderedPageBreak/>
        <w:t>Table S</w:t>
      </w:r>
      <w:r w:rsidR="000B5E3E">
        <w:rPr>
          <w:rFonts w:ascii="Times New Roman" w:hAnsi="Times New Roman"/>
          <w:i/>
          <w:sz w:val="20"/>
          <w:szCs w:val="20"/>
          <w:lang w:val="en-US"/>
        </w:rPr>
        <w:t>4</w:t>
      </w:r>
      <w:r w:rsidRPr="00811482">
        <w:rPr>
          <w:rFonts w:ascii="Times New Roman" w:hAnsi="Times New Roman"/>
          <w:i/>
          <w:sz w:val="20"/>
          <w:szCs w:val="20"/>
          <w:lang w:val="en-US"/>
        </w:rPr>
        <w:t>.</w:t>
      </w:r>
      <w:r w:rsidRPr="00811482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811482">
        <w:rPr>
          <w:rFonts w:ascii="Times New Roman" w:hAnsi="Times New Roman"/>
          <w:sz w:val="20"/>
          <w:szCs w:val="20"/>
          <w:lang w:val="en-US"/>
        </w:rPr>
        <w:t>Clustering measures for the estimated networks.</w:t>
      </w:r>
    </w:p>
    <w:tbl>
      <w:tblPr>
        <w:tblW w:w="8102" w:type="dxa"/>
        <w:tblLook w:val="04A0" w:firstRow="1" w:lastRow="0" w:firstColumn="1" w:lastColumn="0" w:noHBand="0" w:noVBand="1"/>
      </w:tblPr>
      <w:tblGrid>
        <w:gridCol w:w="2034"/>
        <w:gridCol w:w="1336"/>
        <w:gridCol w:w="2842"/>
        <w:gridCol w:w="1890"/>
      </w:tblGrid>
      <w:tr w:rsidR="004B4B99" w:rsidRPr="00811482" w14:paraId="136CAACE" w14:textId="77777777" w:rsidTr="004B4B99">
        <w:trPr>
          <w:trHeight w:val="315"/>
        </w:trPr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F6534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Study group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A2D1E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Transitivity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01BEB3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Average of shortest paths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FDD1F6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Small </w:t>
            </w:r>
            <w:proofErr w:type="spellStart"/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worldness</w:t>
            </w:r>
            <w:proofErr w:type="spellEnd"/>
          </w:p>
        </w:tc>
      </w:tr>
      <w:tr w:rsidR="004B4B99" w:rsidRPr="00811482" w14:paraId="15B3E5D7" w14:textId="77777777" w:rsidTr="004B4B99">
        <w:trPr>
          <w:trHeight w:val="300"/>
        </w:trPr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14B8B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C01DE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0.35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6A7B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1B971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1.08</w:t>
            </w:r>
          </w:p>
        </w:tc>
      </w:tr>
      <w:tr w:rsidR="004B4B99" w:rsidRPr="00811482" w14:paraId="502F8C1D" w14:textId="77777777" w:rsidTr="004B4B9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2F04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MDD+EXT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71FC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0.33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BFF7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4465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0.94</w:t>
            </w:r>
          </w:p>
        </w:tc>
      </w:tr>
      <w:tr w:rsidR="004B4B99" w:rsidRPr="00811482" w14:paraId="25F76CA2" w14:textId="77777777" w:rsidTr="004B4B9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F21EF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9FCD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0.51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02402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244D6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1.02</w:t>
            </w:r>
          </w:p>
        </w:tc>
      </w:tr>
      <w:tr w:rsidR="004B4B99" w:rsidRPr="00811482" w14:paraId="59706591" w14:textId="77777777" w:rsidTr="004B4B9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40BF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ANX+EXT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39437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9B7A1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776D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1.24</w:t>
            </w:r>
          </w:p>
        </w:tc>
      </w:tr>
      <w:tr w:rsidR="004B4B99" w:rsidRPr="00811482" w14:paraId="1EC1C1C7" w14:textId="77777777" w:rsidTr="004B4B99">
        <w:trPr>
          <w:trHeight w:val="300"/>
        </w:trPr>
        <w:tc>
          <w:tcPr>
            <w:tcW w:w="20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F544C4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ANX+MDD</w:t>
            </w: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5BEBEC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0.30</w:t>
            </w:r>
          </w:p>
        </w:tc>
        <w:tc>
          <w:tcPr>
            <w:tcW w:w="2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76729C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1.93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7179527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0.97</w:t>
            </w:r>
          </w:p>
        </w:tc>
      </w:tr>
      <w:tr w:rsidR="004B4B99" w:rsidRPr="00811482" w14:paraId="0F43691F" w14:textId="77777777" w:rsidTr="004B4B99">
        <w:trPr>
          <w:trHeight w:val="300"/>
        </w:trPr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33A326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ANX+MDD+EXT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069097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0.60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E5DC00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5E29C" w14:textId="77777777" w:rsidR="004B4B99" w:rsidRPr="00811482" w:rsidRDefault="004B4B99" w:rsidP="004B4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11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</w:tr>
    </w:tbl>
    <w:p w14:paraId="582661B2" w14:textId="77777777" w:rsidR="00285A0E" w:rsidRDefault="004B4B99" w:rsidP="004B4B99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i/>
          <w:sz w:val="20"/>
          <w:szCs w:val="20"/>
          <w:lang w:val="en-US"/>
        </w:rPr>
        <w:t xml:space="preserve">Note. </w:t>
      </w:r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MDD = Depression group. MDD+EXT = Depression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 ANX = Anxiety group. ANX+EXT = Anxiety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 ANX+MDD = Comorbid depression and anxiety group. ANX+MDD+EXT = Comorbid depression and anxiety with comorbid </w:t>
      </w:r>
      <w:proofErr w:type="spellStart"/>
      <w:r w:rsidRPr="00811482">
        <w:rPr>
          <w:rFonts w:ascii="Times New Roman" w:hAnsi="Times New Roman" w:cs="Times New Roman"/>
          <w:sz w:val="20"/>
          <w:szCs w:val="20"/>
          <w:lang w:val="en-US"/>
        </w:rPr>
        <w:t>externalising</w:t>
      </w:r>
      <w:proofErr w:type="spellEnd"/>
      <w:r w:rsidRPr="00811482">
        <w:rPr>
          <w:rFonts w:ascii="Times New Roman" w:hAnsi="Times New Roman" w:cs="Times New Roman"/>
          <w:sz w:val="20"/>
          <w:szCs w:val="20"/>
          <w:lang w:val="en-US"/>
        </w:rPr>
        <w:t xml:space="preserve"> disorder group.</w:t>
      </w:r>
    </w:p>
    <w:p w14:paraId="78AE74AE" w14:textId="0E6E8356" w:rsidR="00285A0E" w:rsidRDefault="00285A0E" w:rsidP="00285A0E">
      <w:pPr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2302504C" w14:textId="1EEFEA1D" w:rsidR="00285A0E" w:rsidRPr="00285A0E" w:rsidRDefault="00285A0E" w:rsidP="00285A0E">
      <w:pPr>
        <w:rPr>
          <w:rFonts w:ascii="Times New Roman" w:hAnsi="Times New Roman" w:cs="Times New Roman"/>
          <w:sz w:val="20"/>
          <w:szCs w:val="20"/>
          <w:lang w:val="en-US"/>
        </w:rPr>
        <w:sectPr w:rsidR="00285A0E" w:rsidRPr="00285A0E" w:rsidSect="0057085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19775EAA" w14:textId="77777777" w:rsidR="00957596" w:rsidRPr="00811482" w:rsidRDefault="00957596" w:rsidP="00957596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lastRenderedPageBreak/>
        <w:t xml:space="preserve">Figure S1. </w:t>
      </w:r>
      <w:r w:rsidRPr="00811482">
        <w:rPr>
          <w:rFonts w:ascii="Times New Roman" w:hAnsi="Times New Roman" w:cs="Times New Roman"/>
          <w:color w:val="auto"/>
          <w:sz w:val="20"/>
          <w:szCs w:val="20"/>
          <w:lang w:val="en-US"/>
        </w:rPr>
        <w:t>Density plot of observed and imputed data.</w:t>
      </w:r>
    </w:p>
    <w:p w14:paraId="137761EC" w14:textId="77777777" w:rsidR="00957596" w:rsidRPr="00811482" w:rsidRDefault="00957596">
      <w:pPr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i/>
          <w:noProof/>
          <w:sz w:val="20"/>
          <w:szCs w:val="20"/>
          <w:lang w:val="en-IN" w:eastAsia="en-IN"/>
        </w:rPr>
        <w:drawing>
          <wp:inline distT="0" distB="0" distL="0" distR="0" wp14:anchorId="6F896785" wp14:editId="05553B1A">
            <wp:extent cx="5114925" cy="5391150"/>
            <wp:effectExtent l="19050" t="19050" r="28575" b="190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5391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F45D1E" w14:textId="77777777" w:rsidR="0057085B" w:rsidRPr="00811482" w:rsidRDefault="00957596" w:rsidP="0057085B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811482">
        <w:rPr>
          <w:rFonts w:ascii="Times New Roman" w:hAnsi="Times New Roman"/>
          <w:i/>
          <w:sz w:val="20"/>
          <w:szCs w:val="20"/>
        </w:rPr>
        <w:t xml:space="preserve">Note. </w:t>
      </w:r>
      <w:r w:rsidRPr="00811482">
        <w:rPr>
          <w:rFonts w:ascii="Times New Roman" w:hAnsi="Times New Roman"/>
          <w:sz w:val="20"/>
          <w:szCs w:val="20"/>
        </w:rPr>
        <w:t xml:space="preserve">This figure displays the cumulative density distribution of observed data, in blue ink; and those from imputed data (all iterations), in red ink. </w:t>
      </w:r>
    </w:p>
    <w:p w14:paraId="6AA5458D" w14:textId="77777777" w:rsidR="0057085B" w:rsidRPr="00811482" w:rsidRDefault="0057085B" w:rsidP="0057085B">
      <w:pPr>
        <w:spacing w:line="480" w:lineRule="auto"/>
        <w:rPr>
          <w:rFonts w:ascii="Times New Roman" w:hAnsi="Times New Roman"/>
          <w:sz w:val="20"/>
          <w:szCs w:val="20"/>
        </w:rPr>
        <w:sectPr w:rsidR="0057085B" w:rsidRPr="00811482" w:rsidSect="0057085B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811482">
        <w:rPr>
          <w:rFonts w:ascii="Times New Roman" w:hAnsi="Times New Roman"/>
          <w:b/>
          <w:sz w:val="20"/>
          <w:szCs w:val="20"/>
        </w:rPr>
        <w:t>Symptoms:</w:t>
      </w:r>
      <w:r w:rsidRPr="00811482">
        <w:rPr>
          <w:rFonts w:ascii="Times New Roman" w:hAnsi="Times New Roman"/>
          <w:sz w:val="20"/>
          <w:szCs w:val="20"/>
        </w:rPr>
        <w:t xml:space="preserve"> ag = Fearful of being in open space. d1 = Sadness. d2 = Discouraged about things in life most days. d3 = Thought about suicide. d4 = Talk/move more slowly than usual most days. d5 = More trouble concentrating most days. d6 = Low self-esteem. d7 = Felt not as good as others most days. d8 = Felt guilty most days. g1 = Felt distress due to worry. p1 = Experience sudden attack. sa1 = Being sad/uncomfortable when apart from attachment person. so1 = Shy/afraid/uncomfortable meeting new people. so2 = Shy/afraid/uncomfortable talking to authority. so3 = Shy/afraid/uncomfortable speaking in class.</w:t>
      </w:r>
    </w:p>
    <w:p w14:paraId="616A2383" w14:textId="77777777" w:rsidR="00591275" w:rsidRPr="00811482" w:rsidRDefault="00591275" w:rsidP="0059127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lastRenderedPageBreak/>
        <w:t>Figure S</w:t>
      </w:r>
      <w:r w:rsidR="0057085B" w:rsidRPr="0081148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>2</w:t>
      </w:r>
      <w:r w:rsidRPr="00811482">
        <w:rPr>
          <w:rFonts w:ascii="Times New Roman" w:hAnsi="Times New Roman" w:cs="Times New Roman"/>
          <w:i/>
          <w:color w:val="auto"/>
          <w:sz w:val="20"/>
          <w:szCs w:val="20"/>
          <w:lang w:val="en-US"/>
        </w:rPr>
        <w:t xml:space="preserve">. </w:t>
      </w:r>
      <w:r w:rsidRPr="00811482">
        <w:rPr>
          <w:rFonts w:ascii="Times New Roman" w:hAnsi="Times New Roman" w:cs="Times New Roman"/>
          <w:color w:val="auto"/>
          <w:sz w:val="20"/>
          <w:szCs w:val="20"/>
          <w:lang w:val="en-US"/>
        </w:rPr>
        <w:t>Bootstrapped confidence intervals of estimated edge-weights for the estimated networks.</w:t>
      </w:r>
    </w:p>
    <w:p w14:paraId="3FE14B01" w14:textId="77777777" w:rsidR="0057085B" w:rsidRPr="00811482" w:rsidRDefault="00957596" w:rsidP="00591275">
      <w:pPr>
        <w:pStyle w:val="Heading2"/>
        <w:spacing w:before="0" w:line="480" w:lineRule="auto"/>
        <w:rPr>
          <w:rFonts w:ascii="Times New Roman" w:hAnsi="Times New Roman" w:cs="Times New Roman"/>
          <w:b/>
          <w:i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b/>
          <w:i/>
          <w:noProof/>
          <w:color w:val="auto"/>
          <w:sz w:val="20"/>
          <w:szCs w:val="20"/>
          <w:lang w:val="en-IN" w:eastAsia="en-IN"/>
        </w:rPr>
        <w:drawing>
          <wp:inline distT="0" distB="0" distL="0" distR="0" wp14:anchorId="31C90992" wp14:editId="0880F791">
            <wp:extent cx="7981950" cy="4602668"/>
            <wp:effectExtent l="19050" t="19050" r="19050" b="266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504" cy="46047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074D37" w14:textId="77777777" w:rsidR="0057085B" w:rsidRPr="00811482" w:rsidRDefault="0057085B" w:rsidP="0057085B">
      <w:pPr>
        <w:rPr>
          <w:rFonts w:eastAsiaTheme="majorEastAsia"/>
          <w:sz w:val="20"/>
          <w:szCs w:val="20"/>
          <w:lang w:val="en-US"/>
        </w:rPr>
      </w:pPr>
      <w:r w:rsidRPr="00811482">
        <w:rPr>
          <w:sz w:val="20"/>
          <w:szCs w:val="20"/>
          <w:lang w:val="en-US"/>
        </w:rPr>
        <w:br w:type="page"/>
      </w:r>
    </w:p>
    <w:p w14:paraId="502A0761" w14:textId="77777777" w:rsidR="0057085B" w:rsidRPr="00811482" w:rsidRDefault="0057085B" w:rsidP="00591275">
      <w:pPr>
        <w:pStyle w:val="Heading2"/>
        <w:spacing w:before="0" w:line="480" w:lineRule="auto"/>
        <w:rPr>
          <w:rFonts w:ascii="Times New Roman" w:hAnsi="Times New Roman" w:cs="Times New Roman"/>
          <w:b/>
          <w:i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b/>
          <w:i/>
          <w:noProof/>
          <w:color w:val="auto"/>
          <w:sz w:val="20"/>
          <w:szCs w:val="20"/>
          <w:lang w:val="en-IN" w:eastAsia="en-IN"/>
        </w:rPr>
        <w:lastRenderedPageBreak/>
        <w:drawing>
          <wp:inline distT="0" distB="0" distL="0" distR="0" wp14:anchorId="56A61AC4" wp14:editId="3D5DA7AC">
            <wp:extent cx="8886825" cy="4981575"/>
            <wp:effectExtent l="19050" t="19050" r="28575" b="285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981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69EA41" w14:textId="77777777" w:rsidR="0057085B" w:rsidRPr="00811482" w:rsidRDefault="0057085B" w:rsidP="0057085B">
      <w:pPr>
        <w:rPr>
          <w:rFonts w:eastAsiaTheme="majorEastAsia"/>
          <w:sz w:val="20"/>
          <w:szCs w:val="20"/>
          <w:lang w:val="en-US"/>
        </w:rPr>
      </w:pPr>
      <w:r w:rsidRPr="00811482">
        <w:rPr>
          <w:sz w:val="20"/>
          <w:szCs w:val="20"/>
          <w:lang w:val="en-US"/>
        </w:rPr>
        <w:br w:type="page"/>
      </w:r>
    </w:p>
    <w:p w14:paraId="354CAD89" w14:textId="77777777" w:rsidR="00591275" w:rsidRPr="00811482" w:rsidRDefault="0057085B" w:rsidP="00591275">
      <w:pPr>
        <w:pStyle w:val="Heading2"/>
        <w:spacing w:before="0" w:line="480" w:lineRule="auto"/>
        <w:rPr>
          <w:rFonts w:ascii="Times New Roman" w:hAnsi="Times New Roman" w:cs="Times New Roman"/>
          <w:b/>
          <w:i/>
          <w:color w:val="auto"/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b/>
          <w:i/>
          <w:noProof/>
          <w:color w:val="auto"/>
          <w:sz w:val="20"/>
          <w:szCs w:val="20"/>
          <w:lang w:val="en-IN" w:eastAsia="en-IN"/>
        </w:rPr>
        <w:lastRenderedPageBreak/>
        <w:drawing>
          <wp:inline distT="0" distB="0" distL="0" distR="0" wp14:anchorId="4CF63C7D" wp14:editId="1D7B5A6F">
            <wp:extent cx="8496300" cy="4607854"/>
            <wp:effectExtent l="19050" t="19050" r="19050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7786" cy="46086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9AA263A" w14:textId="77777777" w:rsidR="00591275" w:rsidRPr="00811482" w:rsidRDefault="00591275" w:rsidP="0057085B">
      <w:pPr>
        <w:pStyle w:val="Heading2"/>
        <w:spacing w:before="0" w:line="480" w:lineRule="auto"/>
        <w:rPr>
          <w:sz w:val="20"/>
          <w:szCs w:val="20"/>
          <w:lang w:val="en-US"/>
        </w:rPr>
      </w:pPr>
      <w:r w:rsidRPr="00811482">
        <w:rPr>
          <w:rFonts w:ascii="Times New Roman" w:hAnsi="Times New Roman" w:cs="Times New Roman"/>
          <w:b/>
          <w:i/>
          <w:color w:val="auto"/>
          <w:sz w:val="20"/>
          <w:szCs w:val="20"/>
          <w:lang w:val="en-US"/>
        </w:rPr>
        <w:t>Note.</w:t>
      </w:r>
      <w:r w:rsidRPr="00811482">
        <w:rPr>
          <w:rFonts w:ascii="Times New Roman" w:hAnsi="Times New Roman" w:cs="Times New Roman"/>
          <w:color w:val="auto"/>
          <w:sz w:val="20"/>
          <w:szCs w:val="20"/>
          <w:lang w:val="en-US"/>
        </w:rPr>
        <w:t xml:space="preserve"> The red line represents the sample values, the black line the mean of bootstrapped samples and the shaded area the bootstrapped 95% confidence interval. All the items are displayed, ordered from the edge with the highest edge-weight to the edge with the lowest edge-weight.</w:t>
      </w:r>
    </w:p>
    <w:sectPr w:rsidR="00591275" w:rsidRPr="00811482" w:rsidSect="00714036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51"/>
    <w:rsid w:val="000B5E3E"/>
    <w:rsid w:val="000F39B9"/>
    <w:rsid w:val="00191FB0"/>
    <w:rsid w:val="001A6E5D"/>
    <w:rsid w:val="001C4D17"/>
    <w:rsid w:val="00285A0E"/>
    <w:rsid w:val="00292651"/>
    <w:rsid w:val="002A564C"/>
    <w:rsid w:val="002F036C"/>
    <w:rsid w:val="00327D55"/>
    <w:rsid w:val="00344559"/>
    <w:rsid w:val="004B4B99"/>
    <w:rsid w:val="00511728"/>
    <w:rsid w:val="0057085B"/>
    <w:rsid w:val="00576EA1"/>
    <w:rsid w:val="00591275"/>
    <w:rsid w:val="005C6FB6"/>
    <w:rsid w:val="00605434"/>
    <w:rsid w:val="006635A1"/>
    <w:rsid w:val="00694E87"/>
    <w:rsid w:val="00714036"/>
    <w:rsid w:val="00723315"/>
    <w:rsid w:val="007236CF"/>
    <w:rsid w:val="00724584"/>
    <w:rsid w:val="007D01B5"/>
    <w:rsid w:val="00811482"/>
    <w:rsid w:val="0082428A"/>
    <w:rsid w:val="008506CB"/>
    <w:rsid w:val="008660DA"/>
    <w:rsid w:val="008F0828"/>
    <w:rsid w:val="00957596"/>
    <w:rsid w:val="00970047"/>
    <w:rsid w:val="00B3473F"/>
    <w:rsid w:val="00B40274"/>
    <w:rsid w:val="00B72EF0"/>
    <w:rsid w:val="00B80CFF"/>
    <w:rsid w:val="00C153FD"/>
    <w:rsid w:val="00C4118A"/>
    <w:rsid w:val="00C83D96"/>
    <w:rsid w:val="00C95B91"/>
    <w:rsid w:val="00CC12F6"/>
    <w:rsid w:val="00CF7DD2"/>
    <w:rsid w:val="00D42313"/>
    <w:rsid w:val="00D56DC9"/>
    <w:rsid w:val="00D836DE"/>
    <w:rsid w:val="00DB12AB"/>
    <w:rsid w:val="00DF1FE3"/>
    <w:rsid w:val="00E45109"/>
    <w:rsid w:val="00E50413"/>
    <w:rsid w:val="00E7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8413"/>
  <w15:chartTrackingRefBased/>
  <w15:docId w15:val="{99281705-03B1-4420-83DE-6239F117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047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00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paragraph" w:customStyle="1" w:styleId="Default">
    <w:name w:val="Default"/>
    <w:rsid w:val="009700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1922</Words>
  <Characters>10957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 la torre Luque</dc:creator>
  <cp:keywords/>
  <dc:description/>
  <cp:lastModifiedBy>Thenmozhi N.</cp:lastModifiedBy>
  <cp:revision>2</cp:revision>
  <dcterms:created xsi:type="dcterms:W3CDTF">2021-10-07T02:58:00Z</dcterms:created>
  <dcterms:modified xsi:type="dcterms:W3CDTF">2021-10-07T02:58:00Z</dcterms:modified>
</cp:coreProperties>
</file>